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EAE" w:rsidRDefault="00043EAE" w:rsidP="00160654">
      <w:pPr>
        <w:suppressLineNumbers/>
        <w:rPr>
          <w:rtl/>
        </w:rPr>
      </w:pPr>
      <w:r>
        <w:rPr>
          <w:rtl/>
        </w:rPr>
        <w:t xml:space="preserve"> </w:t>
      </w: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71"/>
        <w:gridCol w:w="5541"/>
      </w:tblGrid>
      <w:tr w:rsidR="00043EAE">
        <w:trPr>
          <w:trHeight w:val="295"/>
          <w:jc w:val="center"/>
        </w:trPr>
        <w:tc>
          <w:tcPr>
            <w:tcW w:w="8820" w:type="dxa"/>
            <w:gridSpan w:val="3"/>
          </w:tcPr>
          <w:p w:rsidR="00043EAE" w:rsidRDefault="001F639B" w:rsidP="001F639B">
            <w:pPr>
              <w:tabs>
                <w:tab w:val="left" w:pos="4899"/>
                <w:tab w:val="right" w:pos="8604"/>
              </w:tabs>
              <w:rPr>
                <w:rFonts w:ascii="Arial" w:hAnsi="Arial"/>
                <w:b/>
                <w:bCs/>
                <w:sz w:val="26"/>
                <w:szCs w:val="26"/>
                <w:rtl/>
              </w:rPr>
            </w:pPr>
            <w:r>
              <w:rPr>
                <w:rFonts w:ascii="Arial" w:hAnsi="Arial"/>
                <w:b/>
                <w:bCs/>
                <w:sz w:val="26"/>
                <w:szCs w:val="26"/>
                <w:rtl/>
              </w:rPr>
              <w:tab/>
            </w:r>
            <w:r>
              <w:rPr>
                <w:rFonts w:ascii="Arial" w:hAnsi="Arial"/>
                <w:b/>
                <w:bCs/>
                <w:sz w:val="26"/>
                <w:szCs w:val="26"/>
                <w:rtl/>
              </w:rPr>
              <w:tab/>
            </w:r>
          </w:p>
        </w:tc>
      </w:tr>
      <w:tr w:rsidR="00043EAE" w:rsidTr="00043EAE">
        <w:trPr>
          <w:trHeight w:val="295"/>
          <w:jc w:val="center"/>
        </w:trPr>
        <w:tc>
          <w:tcPr>
            <w:tcW w:w="608" w:type="dxa"/>
          </w:tcPr>
          <w:p w:rsidR="00043EAE" w:rsidRDefault="002D6887">
            <w:pPr>
              <w:jc w:val="both"/>
              <w:rPr>
                <w:rFonts w:ascii="Arial" w:hAnsi="Arial"/>
                <w:b/>
                <w:bCs/>
              </w:rPr>
            </w:pPr>
            <w:r>
              <w:rPr>
                <w:rFonts w:ascii="Arial" w:hAnsi="Arial" w:hint="cs"/>
                <w:b/>
                <w:bCs/>
                <w:rtl/>
              </w:rPr>
              <w:t>ל</w:t>
            </w:r>
            <w:r w:rsidR="00043EAE">
              <w:rPr>
                <w:rFonts w:ascii="Arial" w:hAnsi="Arial"/>
                <w:b/>
                <w:bCs/>
                <w:rtl/>
              </w:rPr>
              <w:t xml:space="preserve">פני </w:t>
            </w:r>
          </w:p>
        </w:tc>
        <w:tc>
          <w:tcPr>
            <w:tcW w:w="8212" w:type="dxa"/>
            <w:gridSpan w:val="2"/>
          </w:tcPr>
          <w:p w:rsidR="00043EAE" w:rsidRDefault="007C5F81">
            <w:pPr>
              <w:rPr>
                <w:rFonts w:ascii="Arial" w:hAnsi="Arial"/>
                <w:b/>
                <w:bCs/>
                <w:rtl/>
              </w:rPr>
            </w:pPr>
            <w:r>
              <w:rPr>
                <w:rFonts w:ascii="Arial" w:hAnsi="Arial" w:hint="cs"/>
                <w:b/>
                <w:bCs/>
                <w:rtl/>
              </w:rPr>
              <w:t>כבוד</w:t>
            </w:r>
            <w:r w:rsidR="00043EAE">
              <w:rPr>
                <w:rFonts w:ascii="Arial" w:hAnsi="Arial" w:hint="cs"/>
                <w:b/>
                <w:bCs/>
                <w:rtl/>
              </w:rPr>
              <w:t xml:space="preserve"> ה</w:t>
            </w:r>
            <w:sdt>
              <w:sdtPr>
                <w:rPr>
                  <w:rtl/>
                </w:rPr>
                <w:alias w:val="1574"/>
                <w:tag w:val="1574"/>
                <w:id w:val="437253536"/>
                <w:text w:multiLine="1"/>
              </w:sdtPr>
              <w:sdtEndPr/>
              <w:sdtContent>
                <w:r>
                  <w:rPr>
                    <w:rFonts w:ascii="Arial" w:hAnsi="Arial"/>
                    <w:b/>
                    <w:bCs/>
                    <w:rtl/>
                  </w:rPr>
                  <w:t>שופט</w:t>
                </w:r>
              </w:sdtContent>
            </w:sdt>
            <w:r w:rsidR="00043EAE">
              <w:rPr>
                <w:rFonts w:ascii="Arial" w:hAnsi="Arial" w:hint="cs"/>
                <w:b/>
                <w:bCs/>
                <w:rtl/>
              </w:rPr>
              <w:t xml:space="preserve">  </w:t>
            </w:r>
            <w:sdt>
              <w:sdtPr>
                <w:rPr>
                  <w:rtl/>
                </w:rPr>
                <w:alias w:val="1573"/>
                <w:tag w:val="1573"/>
                <w:id w:val="1843963384"/>
                <w:text w:multiLine="1"/>
              </w:sdtPr>
              <w:sdtEndPr/>
              <w:sdtContent>
                <w:r>
                  <w:rPr>
                    <w:rFonts w:ascii="Arial" w:hAnsi="Arial"/>
                    <w:b/>
                    <w:bCs/>
                    <w:rtl/>
                  </w:rPr>
                  <w:t>מיכאל קרשן</w:t>
                </w:r>
              </w:sdtContent>
            </w:sdt>
          </w:p>
          <w:p w:rsidR="00043EAE" w:rsidRDefault="00043EAE">
            <w:pPr>
              <w:rPr>
                <w:rFonts w:ascii="Arial" w:hAnsi="Arial" w:cs="FrankRuehl"/>
                <w:sz w:val="28"/>
                <w:szCs w:val="28"/>
                <w:highlight w:val="yellow"/>
              </w:rPr>
            </w:pPr>
          </w:p>
        </w:tc>
      </w:tr>
      <w:tr w:rsidR="00043EAE" w:rsidTr="00043EAE">
        <w:trPr>
          <w:jc w:val="center"/>
        </w:trPr>
        <w:tc>
          <w:tcPr>
            <w:tcW w:w="3279" w:type="dxa"/>
            <w:gridSpan w:val="2"/>
          </w:tcPr>
          <w:p w:rsidR="00043EAE" w:rsidRDefault="00043EAE">
            <w:pPr>
              <w:bidi w:val="0"/>
              <w:jc w:val="right"/>
              <w:rPr>
                <w:rFonts w:ascii="Arial" w:hAnsi="Arial"/>
                <w:b/>
                <w:bCs/>
                <w:sz w:val="26"/>
                <w:szCs w:val="26"/>
              </w:rPr>
            </w:pPr>
          </w:p>
          <w:sdt>
            <w:sdtPr>
              <w:rPr>
                <w:rtl/>
              </w:rPr>
              <w:alias w:val="1180"/>
              <w:tag w:val="1180"/>
              <w:id w:val="804436164"/>
              <w:text w:multiLine="1"/>
            </w:sdtPr>
            <w:sdtEndPr/>
            <w:sdtContent>
              <w:p w:rsidR="0019450F" w:rsidRDefault="002D6887" w:rsidP="002D6887">
                <w:pPr>
                  <w:rPr>
                    <w:rFonts w:ascii="Arial" w:hAnsi="Arial"/>
                    <w:b/>
                    <w:bCs/>
                    <w:sz w:val="26"/>
                    <w:szCs w:val="26"/>
                    <w:rtl/>
                  </w:rPr>
                </w:pPr>
                <w:r>
                  <w:rPr>
                    <w:rFonts w:ascii="Arial" w:hAnsi="Arial" w:hint="cs"/>
                    <w:b/>
                    <w:bCs/>
                    <w:sz w:val="26"/>
                    <w:szCs w:val="26"/>
                    <w:rtl/>
                  </w:rPr>
                  <w:t>העותר</w:t>
                </w:r>
              </w:p>
            </w:sdtContent>
          </w:sdt>
        </w:tc>
        <w:tc>
          <w:tcPr>
            <w:tcW w:w="5541" w:type="dxa"/>
          </w:tcPr>
          <w:p w:rsidR="00043EAE" w:rsidRDefault="00043EAE">
            <w:pPr>
              <w:rPr>
                <w:rFonts w:ascii="Arial" w:hAnsi="Arial"/>
                <w:b/>
                <w:bCs/>
                <w:sz w:val="26"/>
                <w:szCs w:val="26"/>
              </w:rPr>
            </w:pPr>
          </w:p>
          <w:p w:rsidR="00043EAE" w:rsidRDefault="00E22235">
            <w:pPr>
              <w:rPr>
                <w:b/>
                <w:bCs/>
                <w:sz w:val="26"/>
                <w:szCs w:val="26"/>
              </w:rPr>
            </w:pPr>
            <w:sdt>
              <w:sdtPr>
                <w:rPr>
                  <w:rtl/>
                </w:rPr>
                <w:alias w:val="1478"/>
                <w:tag w:val="1478"/>
                <w:id w:val="799887372"/>
                <w:text w:multiLine="1"/>
              </w:sdtPr>
              <w:sdtEndPr/>
              <w:sdtContent>
                <w:r w:rsidR="00160654">
                  <w:rPr>
                    <w:rFonts w:ascii="Arial" w:hAnsi="Arial"/>
                    <w:b/>
                    <w:bCs/>
                    <w:sz w:val="26"/>
                    <w:szCs w:val="26"/>
                    <w:rtl/>
                  </w:rPr>
                  <w:t>ג'ומעה בן מוסא ח'דר (אסיר)</w:t>
                </w:r>
              </w:sdtContent>
            </w:sdt>
          </w:p>
        </w:tc>
      </w:tr>
      <w:tr w:rsidR="00043EAE">
        <w:trPr>
          <w:jc w:val="center"/>
        </w:trPr>
        <w:tc>
          <w:tcPr>
            <w:tcW w:w="8820" w:type="dxa"/>
            <w:gridSpan w:val="3"/>
          </w:tcPr>
          <w:p w:rsidR="00043EAE" w:rsidRDefault="00043EAE">
            <w:pPr>
              <w:rPr>
                <w:rFonts w:ascii="Arial" w:hAnsi="Arial"/>
                <w:b/>
                <w:bCs/>
                <w:sz w:val="26"/>
                <w:szCs w:val="26"/>
                <w:rtl/>
              </w:rPr>
            </w:pPr>
          </w:p>
          <w:p w:rsidR="00043EAE" w:rsidRDefault="00043EAE">
            <w:pPr>
              <w:jc w:val="center"/>
              <w:rPr>
                <w:rFonts w:ascii="Arial" w:hAnsi="Arial"/>
                <w:b/>
                <w:bCs/>
                <w:sz w:val="26"/>
                <w:szCs w:val="26"/>
                <w:rtl/>
              </w:rPr>
            </w:pPr>
            <w:r>
              <w:rPr>
                <w:rFonts w:ascii="Arial" w:hAnsi="Arial"/>
                <w:b/>
                <w:bCs/>
                <w:sz w:val="26"/>
                <w:szCs w:val="26"/>
                <w:rtl/>
              </w:rPr>
              <w:t>נגד</w:t>
            </w:r>
          </w:p>
          <w:p w:rsidR="00043EAE" w:rsidRDefault="00043EAE">
            <w:pPr>
              <w:rPr>
                <w:rFonts w:ascii="Arial" w:hAnsi="Arial"/>
                <w:b/>
                <w:bCs/>
                <w:sz w:val="26"/>
                <w:szCs w:val="26"/>
              </w:rPr>
            </w:pPr>
          </w:p>
        </w:tc>
      </w:tr>
      <w:tr w:rsidR="00043EAE" w:rsidTr="00043EAE">
        <w:trPr>
          <w:jc w:val="center"/>
        </w:trPr>
        <w:tc>
          <w:tcPr>
            <w:tcW w:w="3279" w:type="dxa"/>
            <w:gridSpan w:val="2"/>
          </w:tcPr>
          <w:p w:rsidR="00043EAE" w:rsidRDefault="00043EAE">
            <w:pPr>
              <w:rPr>
                <w:rFonts w:ascii="Arial" w:hAnsi="Arial"/>
                <w:b/>
                <w:bCs/>
                <w:sz w:val="26"/>
                <w:szCs w:val="26"/>
                <w:rtl/>
              </w:rPr>
            </w:pPr>
          </w:p>
          <w:p w:rsidR="00043EAE" w:rsidRDefault="00E22235">
            <w:pPr>
              <w:rPr>
                <w:rFonts w:ascii="Arial" w:hAnsi="Arial"/>
                <w:b/>
                <w:bCs/>
                <w:sz w:val="26"/>
                <w:szCs w:val="26"/>
              </w:rPr>
            </w:pPr>
            <w:sdt>
              <w:sdtPr>
                <w:rPr>
                  <w:rtl/>
                </w:rPr>
                <w:alias w:val="1184"/>
                <w:tag w:val="1184"/>
                <w:id w:val="187576687"/>
                <w:text w:multiLine="1"/>
              </w:sdtPr>
              <w:sdtEndPr/>
              <w:sdtContent>
                <w:r w:rsidR="002D6887">
                  <w:rPr>
                    <w:rFonts w:ascii="Arial" w:hAnsi="Arial" w:hint="cs"/>
                    <w:b/>
                    <w:bCs/>
                    <w:sz w:val="26"/>
                    <w:szCs w:val="26"/>
                    <w:rtl/>
                  </w:rPr>
                  <w:t>ה</w:t>
                </w:r>
                <w:r w:rsidR="00160654">
                  <w:rPr>
                    <w:rFonts w:ascii="Arial" w:hAnsi="Arial"/>
                    <w:b/>
                    <w:bCs/>
                    <w:sz w:val="26"/>
                    <w:szCs w:val="26"/>
                    <w:rtl/>
                  </w:rPr>
                  <w:t>משיבים</w:t>
                </w:r>
              </w:sdtContent>
            </w:sdt>
          </w:p>
        </w:tc>
        <w:tc>
          <w:tcPr>
            <w:tcW w:w="5541" w:type="dxa"/>
          </w:tcPr>
          <w:p w:rsidR="00043EAE" w:rsidRDefault="00043EAE">
            <w:pPr>
              <w:rPr>
                <w:rFonts w:ascii="Arial" w:hAnsi="Arial"/>
                <w:b/>
                <w:bCs/>
                <w:sz w:val="26"/>
                <w:szCs w:val="26"/>
                <w:rtl/>
              </w:rPr>
            </w:pPr>
          </w:p>
          <w:p w:rsidR="00043EAE" w:rsidRDefault="00E22235">
            <w:pPr>
              <w:rPr>
                <w:b/>
                <w:bCs/>
                <w:sz w:val="26"/>
                <w:szCs w:val="26"/>
                <w:rtl/>
              </w:rPr>
            </w:pPr>
            <w:sdt>
              <w:sdtPr>
                <w:rPr>
                  <w:rtl/>
                </w:rPr>
                <w:alias w:val="1571"/>
                <w:tag w:val="1571"/>
                <w:id w:val="-1270774192"/>
                <w:text w:multiLine="1"/>
              </w:sdtPr>
              <w:sdtEndPr/>
              <w:sdtContent>
                <w:r w:rsidR="00160654">
                  <w:rPr>
                    <w:rFonts w:ascii="Arial" w:hAnsi="Arial"/>
                    <w:b/>
                    <w:bCs/>
                    <w:sz w:val="26"/>
                    <w:szCs w:val="26"/>
                    <w:rtl/>
                  </w:rPr>
                  <w:t>1</w:t>
                </w:r>
              </w:sdtContent>
            </w:sdt>
            <w:r w:rsidR="00043EAE">
              <w:rPr>
                <w:rFonts w:ascii="Arial" w:hAnsi="Arial" w:hint="cs"/>
                <w:b/>
                <w:bCs/>
                <w:sz w:val="26"/>
                <w:szCs w:val="26"/>
                <w:rtl/>
              </w:rPr>
              <w:t xml:space="preserve">. </w:t>
            </w:r>
            <w:sdt>
              <w:sdtPr>
                <w:rPr>
                  <w:rtl/>
                </w:rPr>
                <w:alias w:val="1486"/>
                <w:tag w:val="1486"/>
                <w:id w:val="1080957256"/>
                <w:text w:multiLine="1"/>
              </w:sdtPr>
              <w:sdtEndPr/>
              <w:sdtContent>
                <w:r w:rsidR="00160654">
                  <w:rPr>
                    <w:rFonts w:ascii="Arial" w:hAnsi="Arial"/>
                    <w:b/>
                    <w:bCs/>
                    <w:sz w:val="26"/>
                    <w:szCs w:val="26"/>
                    <w:rtl/>
                  </w:rPr>
                  <w:t>שרות בתי הסוהר-מחלקת האסיר - זימונים</w:t>
                </w:r>
              </w:sdtContent>
            </w:sdt>
          </w:p>
          <w:p w:rsidR="00043EAE" w:rsidRDefault="00E22235">
            <w:pPr>
              <w:rPr>
                <w:b/>
                <w:bCs/>
                <w:sz w:val="26"/>
                <w:szCs w:val="26"/>
                <w:rtl/>
              </w:rPr>
            </w:pPr>
            <w:sdt>
              <w:sdtPr>
                <w:rPr>
                  <w:rtl/>
                </w:rPr>
                <w:alias w:val="1571"/>
                <w:tag w:val="1571"/>
                <w:id w:val="-634796285"/>
                <w:text w:multiLine="1"/>
              </w:sdtPr>
              <w:sdtEndPr/>
              <w:sdtContent>
                <w:r w:rsidR="00160654">
                  <w:rPr>
                    <w:rFonts w:ascii="Arial" w:hAnsi="Arial"/>
                    <w:b/>
                    <w:bCs/>
                    <w:sz w:val="26"/>
                    <w:szCs w:val="26"/>
                    <w:rtl/>
                  </w:rPr>
                  <w:t>2</w:t>
                </w:r>
              </w:sdtContent>
            </w:sdt>
            <w:r w:rsidR="00043EAE">
              <w:rPr>
                <w:rFonts w:ascii="Arial" w:hAnsi="Arial" w:hint="cs"/>
                <w:b/>
                <w:bCs/>
                <w:sz w:val="26"/>
                <w:szCs w:val="26"/>
                <w:rtl/>
              </w:rPr>
              <w:t xml:space="preserve">. </w:t>
            </w:r>
            <w:sdt>
              <w:sdtPr>
                <w:rPr>
                  <w:rtl/>
                </w:rPr>
                <w:alias w:val="1486"/>
                <w:tag w:val="1486"/>
                <w:id w:val="822167443"/>
                <w:text w:multiLine="1"/>
              </w:sdtPr>
              <w:sdtEndPr/>
              <w:sdtContent>
                <w:r w:rsidR="00160654">
                  <w:rPr>
                    <w:rFonts w:ascii="Arial" w:hAnsi="Arial"/>
                    <w:b/>
                    <w:bCs/>
                    <w:sz w:val="26"/>
                    <w:szCs w:val="26"/>
                    <w:rtl/>
                  </w:rPr>
                  <w:t>מדינת ישראל</w:t>
                </w:r>
              </w:sdtContent>
            </w:sdt>
          </w:p>
        </w:tc>
      </w:tr>
      <w:tr w:rsidR="00375235" w:rsidTr="001A6DFF">
        <w:trPr>
          <w:jc w:val="center"/>
        </w:trPr>
        <w:tc>
          <w:tcPr>
            <w:tcW w:w="8820" w:type="dxa"/>
            <w:gridSpan w:val="3"/>
          </w:tcPr>
          <w:p w:rsidR="00375235" w:rsidRDefault="00375235">
            <w:pPr>
              <w:rPr>
                <w:rFonts w:ascii="Arial" w:hAnsi="Arial"/>
                <w:b/>
                <w:bCs/>
                <w:sz w:val="26"/>
                <w:szCs w:val="26"/>
                <w:rtl/>
              </w:rPr>
            </w:pPr>
          </w:p>
        </w:tc>
      </w:tr>
    </w:tbl>
    <w:p w:rsidR="002D6887" w:rsidRDefault="002D6887" w:rsidP="002D6887">
      <w:pPr>
        <w:suppressLineNumbers/>
        <w:rPr>
          <w:rtl/>
        </w:rPr>
      </w:pPr>
      <w:r>
        <w:rPr>
          <w:rtl/>
        </w:rPr>
        <w:t>בשם העותר:</w:t>
      </w:r>
      <w:r>
        <w:rPr>
          <w:rtl/>
        </w:rPr>
        <w:tab/>
        <w:t>עו"ד מיכל פומרנץ</w:t>
      </w:r>
    </w:p>
    <w:p w:rsidR="002D6887" w:rsidRDefault="002D6887" w:rsidP="002D6887">
      <w:pPr>
        <w:suppressLineNumbers/>
        <w:rPr>
          <w:rtl/>
        </w:rPr>
      </w:pPr>
      <w:r>
        <w:rPr>
          <w:rtl/>
        </w:rPr>
        <w:t>בשם המשיבים:</w:t>
      </w:r>
      <w:r>
        <w:rPr>
          <w:rtl/>
        </w:rPr>
        <w:tab/>
        <w:t>עו"ד גלעד ארליך; עו"ד שחף קליינמן-שמעוני</w:t>
      </w:r>
    </w:p>
    <w:p w:rsidR="00043EAE" w:rsidRDefault="00043EAE" w:rsidP="00160654">
      <w:pPr>
        <w:suppressLineNumbers/>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66C0C" w:rsidTr="00866C0C">
        <w:trPr>
          <w:jc w:val="center"/>
        </w:trPr>
        <w:tc>
          <w:tcPr>
            <w:tcW w:w="8820" w:type="dxa"/>
            <w:hideMark/>
          </w:tcPr>
          <w:p w:rsidR="00866C0C" w:rsidRDefault="002D6887">
            <w:pPr>
              <w:bidi w:val="0"/>
              <w:jc w:val="center"/>
              <w:rPr>
                <w:rFonts w:ascii="Arial" w:hAnsi="Arial"/>
                <w:b/>
                <w:bCs/>
                <w:noProof w:val="0"/>
                <w:sz w:val="28"/>
                <w:szCs w:val="28"/>
                <w:u w:val="single"/>
              </w:rPr>
            </w:pPr>
            <w:r>
              <w:rPr>
                <w:rFonts w:ascii="Arial" w:hAnsi="Arial"/>
                <w:b/>
                <w:bCs/>
                <w:noProof w:val="0"/>
                <w:sz w:val="28"/>
                <w:szCs w:val="28"/>
                <w:u w:val="single"/>
                <w:rtl/>
              </w:rPr>
              <w:t xml:space="preserve">פסק דין </w:t>
            </w:r>
            <w:r>
              <w:rPr>
                <w:rFonts w:ascii="Arial" w:hAnsi="Arial"/>
                <w:b/>
                <w:bCs/>
                <w:noProof w:val="0"/>
                <w:u w:val="single"/>
                <w:rtl/>
              </w:rPr>
              <w:t>(נוסח מצונזר – מותר בפרסום)</w:t>
            </w:r>
          </w:p>
        </w:tc>
      </w:tr>
    </w:tbl>
    <w:p w:rsidR="003A1911" w:rsidRDefault="003A1911">
      <w:pPr>
        <w:spacing w:line="360" w:lineRule="auto"/>
        <w:jc w:val="both"/>
        <w:rPr>
          <w:rFonts w:ascii="Arial" w:hAnsi="Arial"/>
          <w:rtl/>
        </w:rPr>
      </w:pPr>
      <w:bookmarkStart w:id="0" w:name="NGCSBookmark"/>
      <w:bookmarkEnd w:id="0"/>
    </w:p>
    <w:tbl>
      <w:tblPr>
        <w:tblStyle w:val="a5"/>
        <w:bidiVisual/>
        <w:tblW w:w="8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144"/>
      </w:tblGrid>
      <w:tr w:rsidR="002D6887" w:rsidTr="002D6887">
        <w:trPr>
          <w:jc w:val="center"/>
        </w:trPr>
        <w:tc>
          <w:tcPr>
            <w:tcW w:w="8144" w:type="dxa"/>
          </w:tcPr>
          <w:p w:rsidR="002D6887" w:rsidRDefault="002D6887">
            <w:pPr>
              <w:bidi w:val="0"/>
              <w:jc w:val="center"/>
              <w:rPr>
                <w:rFonts w:ascii="Arial" w:hAnsi="Arial"/>
                <w:b/>
                <w:bCs/>
                <w:noProof w:val="0"/>
                <w:sz w:val="28"/>
                <w:szCs w:val="28"/>
                <w:u w:val="single"/>
              </w:rPr>
            </w:pPr>
          </w:p>
        </w:tc>
      </w:tr>
    </w:tbl>
    <w:p w:rsidR="002D6887" w:rsidRDefault="002D6887" w:rsidP="002D6887">
      <w:pPr>
        <w:spacing w:line="360" w:lineRule="auto"/>
        <w:ind w:firstLine="720"/>
        <w:jc w:val="both"/>
        <w:rPr>
          <w:rFonts w:ascii="David" w:hAnsi="David"/>
        </w:rPr>
      </w:pPr>
      <w:r>
        <w:rPr>
          <w:rFonts w:ascii="David" w:hAnsi="David"/>
          <w:rtl/>
        </w:rPr>
        <w:t>כלום הוראות פקודת נציבות בתי הסוהר 04.40.00 – חופשות אסירים, השוללות מאז שנת 2015 מאסירים תושבי הרשות הפלסטינית באופן גורף את האפשרות להשתלב בסבב חופשות, נעשו כדין? האם הן תואמות את עקרונות המשפט המינהלי? אלו השאלות המרכזיות שמתעוררות בעתירת אסיר זו.</w:t>
      </w:r>
    </w:p>
    <w:p w:rsidR="002D6887" w:rsidRDefault="002D6887" w:rsidP="002D6887">
      <w:pPr>
        <w:spacing w:line="360" w:lineRule="auto"/>
        <w:jc w:val="both"/>
        <w:rPr>
          <w:rFonts w:ascii="David" w:hAnsi="David"/>
          <w:rtl/>
        </w:rPr>
      </w:pPr>
    </w:p>
    <w:p w:rsidR="002D6887" w:rsidRDefault="002D6887" w:rsidP="002D6887">
      <w:pPr>
        <w:spacing w:line="360" w:lineRule="auto"/>
        <w:ind w:firstLine="720"/>
        <w:jc w:val="both"/>
        <w:rPr>
          <w:rFonts w:ascii="David" w:hAnsi="David"/>
          <w:rtl/>
        </w:rPr>
      </w:pPr>
      <w:r>
        <w:rPr>
          <w:rFonts w:ascii="David" w:hAnsi="David"/>
          <w:rtl/>
        </w:rPr>
        <w:t xml:space="preserve">העותר, תושב הרשות הפסטינית מרצה עונש מאסר עולם שנקצב ל-35 שנים. העותר ביקש לשלבו בסבב חופשות, בהן ישהה בבית אחיו שהינו תושב ישראל המתגורר במזרח ירושלים. בקשתו נדחתה אך על בסיס </w:t>
      </w:r>
      <w:r>
        <w:rPr>
          <w:rFonts w:ascii="David" w:hAnsi="David"/>
          <w:u w:val="single"/>
          <w:rtl/>
        </w:rPr>
        <w:t>תוֹשבוּתוֹ</w:t>
      </w:r>
      <w:r>
        <w:rPr>
          <w:rFonts w:ascii="David" w:hAnsi="David"/>
          <w:rtl/>
        </w:rPr>
        <w:t xml:space="preserve">, מבלי שנערכה בדיקה פרטנית של נתוניו. מכאן עתירת האסיר שהגיש לבית המשפט. </w:t>
      </w:r>
    </w:p>
    <w:p w:rsidR="002D6887" w:rsidRDefault="002D6887" w:rsidP="002D6887">
      <w:pPr>
        <w:spacing w:line="360" w:lineRule="auto"/>
        <w:ind w:firstLine="720"/>
        <w:jc w:val="both"/>
        <w:rPr>
          <w:rFonts w:ascii="David" w:hAnsi="David"/>
          <w:rtl/>
        </w:rPr>
      </w:pPr>
    </w:p>
    <w:p w:rsidR="002D6887" w:rsidRDefault="002D6887" w:rsidP="002D6887">
      <w:pPr>
        <w:spacing w:line="360" w:lineRule="auto"/>
        <w:jc w:val="both"/>
        <w:rPr>
          <w:rFonts w:ascii="David" w:hAnsi="David"/>
          <w:b/>
          <w:bCs/>
          <w:u w:val="single"/>
          <w:rtl/>
        </w:rPr>
      </w:pPr>
      <w:r>
        <w:rPr>
          <w:rFonts w:ascii="David" w:hAnsi="David"/>
          <w:b/>
          <w:bCs/>
          <w:u w:val="single"/>
          <w:rtl/>
        </w:rPr>
        <w:t xml:space="preserve">הרקע לעתירת האסיר </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העותר, יליד 1976, נולד ברמאללה, תושב הרשות הפלסטינית. </w:t>
      </w:r>
    </w:p>
    <w:p w:rsidR="002D6887" w:rsidRDefault="002D6887" w:rsidP="002D6887">
      <w:pPr>
        <w:pStyle w:val="ad"/>
        <w:rPr>
          <w:rtl/>
        </w:rPr>
      </w:pPr>
    </w:p>
    <w:p w:rsidR="002D6887" w:rsidRDefault="002D6887" w:rsidP="00E14BDF">
      <w:pPr>
        <w:pStyle w:val="ae"/>
        <w:numPr>
          <w:ilvl w:val="0"/>
          <w:numId w:val="1"/>
        </w:numPr>
        <w:spacing w:after="0" w:line="360" w:lineRule="auto"/>
        <w:ind w:left="84" w:firstLine="0"/>
        <w:jc w:val="both"/>
        <w:rPr>
          <w:rFonts w:ascii="David" w:hAnsi="David" w:cs="David"/>
          <w:b/>
          <w:bCs/>
          <w:sz w:val="24"/>
          <w:szCs w:val="24"/>
        </w:rPr>
      </w:pPr>
      <w:r>
        <w:rPr>
          <w:rFonts w:ascii="David" w:hAnsi="David" w:cs="David"/>
          <w:b/>
          <w:bCs/>
          <w:sz w:val="24"/>
          <w:szCs w:val="24"/>
          <w:rtl/>
        </w:rPr>
        <w:t xml:space="preserve">בהיותו בן 22 שנים, הרשיע בית המשפט המחוזי ירושלים את העותר בעבירה של גרימת מוות בכוונה תחילה וכן בעבירות של ניסיון רצח ושוד בנסיבות מחמירות. </w:t>
      </w:r>
      <w:r>
        <w:rPr>
          <w:rFonts w:ascii="David" w:hAnsi="David" w:cs="David"/>
          <w:sz w:val="24"/>
          <w:szCs w:val="24"/>
          <w:rtl/>
        </w:rPr>
        <w:t xml:space="preserve">העותר נהג </w:t>
      </w:r>
      <w:r>
        <w:rPr>
          <w:rFonts w:ascii="David" w:hAnsi="David" w:cs="David" w:hint="cs"/>
          <w:sz w:val="24"/>
          <w:szCs w:val="24"/>
        </w:rPr>
        <w:t>XXXX</w:t>
      </w:r>
      <w:r>
        <w:rPr>
          <w:rFonts w:ascii="David" w:hAnsi="David" w:cs="David"/>
          <w:sz w:val="24"/>
          <w:szCs w:val="24"/>
        </w:rPr>
        <w:t>XXXX</w:t>
      </w:r>
      <w:r>
        <w:rPr>
          <w:rFonts w:ascii="David" w:hAnsi="David" w:cs="David" w:hint="cs"/>
          <w:sz w:val="24"/>
          <w:szCs w:val="24"/>
        </w:rPr>
        <w:t>XXXX</w:t>
      </w:r>
      <w:r>
        <w:rPr>
          <w:rFonts w:ascii="David" w:hAnsi="David" w:cs="David"/>
          <w:sz w:val="24"/>
          <w:szCs w:val="24"/>
          <w:rtl/>
        </w:rPr>
        <w:t xml:space="preserve">, ובשתי הזדמנויות שונות שדד </w:t>
      </w:r>
      <w:r w:rsidR="00E14BDF">
        <w:rPr>
          <w:rFonts w:ascii="David" w:hAnsi="David" w:cs="David" w:hint="cs"/>
          <w:sz w:val="24"/>
          <w:szCs w:val="24"/>
        </w:rPr>
        <w:t>XXXXXXXXX</w:t>
      </w:r>
      <w:r>
        <w:rPr>
          <w:rFonts w:ascii="David" w:hAnsi="David" w:cs="David"/>
          <w:sz w:val="24"/>
          <w:szCs w:val="24"/>
          <w:rtl/>
        </w:rPr>
        <w:t xml:space="preserve"> באלימות קשה. אחד הקורבנות שרד את תוצאות מעשי האלימות שהסב לו העותר והחלים מפציעותיו. הקורבן האחר נפטר מפצעיו. בית המשפט המחוזי גזר על העותר, בין היתר, מאסר עולם חובה ועוד 12 שנות מאסר בפועל (ת"פ (מחוזי י-ם) 193/98). ערעור שהגיש העותר על פסק הדין – נדחה בידי בית המשפט העליון (ע"פ 3898/99).</w:t>
      </w:r>
    </w:p>
    <w:p w:rsidR="002D6887" w:rsidRDefault="002D6887" w:rsidP="002D6887">
      <w:pPr>
        <w:pStyle w:val="ad"/>
      </w:pPr>
    </w:p>
    <w:p w:rsidR="002D6887" w:rsidRDefault="002D6887" w:rsidP="002D6887">
      <w:pPr>
        <w:pStyle w:val="ad"/>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b/>
          <w:bCs/>
          <w:sz w:val="24"/>
          <w:szCs w:val="24"/>
          <w:rtl/>
        </w:rPr>
        <w:lastRenderedPageBreak/>
        <w:t xml:space="preserve">נשיא המדינה קצב את עונשו של העותר ל-35 שנים. הוא מסווג </w:t>
      </w:r>
      <w:r>
        <w:rPr>
          <w:rFonts w:ascii="David" w:hAnsi="David" w:cs="David"/>
          <w:b/>
          <w:bCs/>
          <w:sz w:val="24"/>
          <w:szCs w:val="24"/>
          <w:u w:val="single"/>
          <w:rtl/>
        </w:rPr>
        <w:t>כאסיר פלילי תושב הרשות הפלסטינית</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עד כה ריצה העותר כ-24 שנות מאסר. מועד שחרורו המלא חל ביום 25.3.2033.</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העותר פנה לשב"ס בבקשה לשלבו בסבב חופשות. לאחר דין ודברים עם שב"ס קיבלה באת כוחו, בסופו של דבר, תשובה מקצינת האסירים ולפיה עניינו של העותר לא יעלה לדיון במסגרת ועדת אסירי עולם, אך יש ביכולתו להגיש בקשה לחופשה מטעמים מיוחדים. קצינת האסירים הפנתה את באת כוח המשיב בעניין זה להוראות הרלוונטיות בפקודה, ולמעשה דחתה את בקשת העותר על הסף. </w:t>
      </w:r>
    </w:p>
    <w:p w:rsidR="002D6887" w:rsidRDefault="002D6887" w:rsidP="002D6887">
      <w:pPr>
        <w:pStyle w:val="ae"/>
        <w:rPr>
          <w:rFonts w:ascii="David" w:hAnsi="David" w:cs="David"/>
          <w:b/>
          <w:bCs/>
          <w:sz w:val="24"/>
          <w:szCs w:val="24"/>
          <w:u w:val="single"/>
        </w:rPr>
      </w:pPr>
    </w:p>
    <w:p w:rsidR="002D6887" w:rsidRDefault="002D6887" w:rsidP="002D6887">
      <w:pPr>
        <w:pStyle w:val="ae"/>
        <w:spacing w:after="0" w:line="360" w:lineRule="auto"/>
        <w:ind w:left="84"/>
        <w:jc w:val="both"/>
        <w:rPr>
          <w:rFonts w:ascii="David" w:hAnsi="David" w:cs="David"/>
          <w:sz w:val="24"/>
          <w:szCs w:val="24"/>
          <w:rtl/>
        </w:rPr>
      </w:pPr>
      <w:r>
        <w:rPr>
          <w:rFonts w:ascii="David" w:hAnsi="David" w:cs="David"/>
          <w:b/>
          <w:bCs/>
          <w:sz w:val="24"/>
          <w:szCs w:val="24"/>
          <w:u w:val="single"/>
          <w:rtl/>
        </w:rPr>
        <w:t>המסגרת הנורמטיבית לחופשת אסיר</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סעיף 80(א) לפקודת בתי הסוהר [נוסח חדש], תשל"ב-1971 (להלן: </w:t>
      </w:r>
      <w:r>
        <w:rPr>
          <w:rFonts w:ascii="Miriam" w:hAnsi="Miriam" w:cs="Miriam"/>
          <w:b/>
          <w:bCs/>
          <w:sz w:val="24"/>
          <w:szCs w:val="24"/>
          <w:rtl/>
        </w:rPr>
        <w:t>פקודת בתי הסוהר</w:t>
      </w:r>
      <w:r>
        <w:rPr>
          <w:rFonts w:ascii="David" w:hAnsi="David" w:cs="David"/>
          <w:sz w:val="24"/>
          <w:szCs w:val="24"/>
          <w:rtl/>
        </w:rPr>
        <w:t>), קובע כי בתי הסוהר יהיו בפיקוחו וניהולו של הנציב. לפי הוראות סעיף 80א לפקודת בתי הסוהר הנציב יוציא, באישור השר, "</w:t>
      </w:r>
      <w:r>
        <w:rPr>
          <w:rFonts w:ascii="Miriam" w:hAnsi="Miriam" w:cs="Miriam"/>
          <w:sz w:val="24"/>
          <w:szCs w:val="24"/>
          <w:rtl/>
        </w:rPr>
        <w:t xml:space="preserve">הוראות כלליות שיקבעו עקרונות </w:t>
      </w:r>
      <w:proofErr w:type="spellStart"/>
      <w:r>
        <w:rPr>
          <w:rFonts w:ascii="Miriam" w:hAnsi="Miriam" w:cs="Miriam"/>
          <w:sz w:val="24"/>
          <w:szCs w:val="24"/>
          <w:rtl/>
        </w:rPr>
        <w:t>לענין</w:t>
      </w:r>
      <w:proofErr w:type="spellEnd"/>
      <w:r>
        <w:rPr>
          <w:rFonts w:ascii="Miriam" w:hAnsi="Miriam" w:cs="Miriam"/>
          <w:sz w:val="24"/>
          <w:szCs w:val="24"/>
          <w:rtl/>
        </w:rPr>
        <w:t xml:space="preserve"> ארגון השירות, סדרי </w:t>
      </w:r>
      <w:proofErr w:type="spellStart"/>
      <w:r>
        <w:rPr>
          <w:rFonts w:ascii="Miriam" w:hAnsi="Miriam" w:cs="Miriam"/>
          <w:sz w:val="24"/>
          <w:szCs w:val="24"/>
          <w:rtl/>
        </w:rPr>
        <w:t>המינהל</w:t>
      </w:r>
      <w:proofErr w:type="spellEnd"/>
      <w:r>
        <w:rPr>
          <w:rFonts w:ascii="Miriam" w:hAnsi="Miriam" w:cs="Miriam"/>
          <w:sz w:val="24"/>
          <w:szCs w:val="24"/>
          <w:rtl/>
        </w:rPr>
        <w:t>, המשטר והמשמעת בו והבטחת פעולתו התקינה</w:t>
      </w:r>
      <w:r>
        <w:rPr>
          <w:rFonts w:ascii="David" w:hAnsi="David" w:cs="David"/>
          <w:sz w:val="24"/>
          <w:szCs w:val="24"/>
          <w:rtl/>
        </w:rPr>
        <w:t xml:space="preserve">", ופקודות כלליות שיקבעו פרטים בנושאים האמורים – אלו הן פקודות נציבות בתי הסוהר. </w:t>
      </w:r>
    </w:p>
    <w:p w:rsidR="002D6887" w:rsidRDefault="002D6887" w:rsidP="002D6887">
      <w:pPr>
        <w:pStyle w:val="ad"/>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בהתאם להוראות סעיף 80ג לפקודת בתי הסוהר, לעניין פקודת בתי הסוהר רואים את פקודות הנציבות כדינים</w:t>
      </w:r>
      <w:r>
        <w:rPr>
          <w:rFonts w:ascii="David" w:hAnsi="David" w:cs="David"/>
          <w:sz w:val="24"/>
          <w:szCs w:val="24"/>
        </w:rPr>
        <w:t>.</w:t>
      </w:r>
      <w:bookmarkStart w:id="1" w:name="Seif149"/>
      <w:bookmarkEnd w:id="1"/>
    </w:p>
    <w:p w:rsidR="002D6887" w:rsidRDefault="002D6887" w:rsidP="002D6887">
      <w:pPr>
        <w:pStyle w:val="ae"/>
        <w:rPr>
          <w:rFonts w:ascii="David" w:hAnsi="David" w:cs="David"/>
          <w:sz w:val="24"/>
          <w:szCs w:val="24"/>
          <w:u w:val="single"/>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b/>
          <w:bCs/>
          <w:sz w:val="24"/>
          <w:szCs w:val="24"/>
          <w:rtl/>
        </w:rPr>
        <w:t>חופשת אסיר</w:t>
      </w:r>
      <w:r>
        <w:rPr>
          <w:rFonts w:ascii="David" w:hAnsi="David" w:cs="David"/>
          <w:sz w:val="24"/>
          <w:szCs w:val="24"/>
          <w:rtl/>
        </w:rPr>
        <w:t xml:space="preserve"> מנויה בין יתר טובות ההנאה הניתנות לאסירים לפי תקנה 19(א) לתקנות בתי הסוהר, תשל"ח- 1978 (להלן: </w:t>
      </w:r>
      <w:r>
        <w:rPr>
          <w:rFonts w:ascii="Miriam" w:hAnsi="Miriam" w:cs="Miriam"/>
          <w:b/>
          <w:bCs/>
          <w:sz w:val="24"/>
          <w:szCs w:val="24"/>
          <w:rtl/>
        </w:rPr>
        <w:t>תקנות בתי הסוהר</w:t>
      </w:r>
      <w:r>
        <w:rPr>
          <w:rFonts w:ascii="David" w:hAnsi="David" w:cs="David"/>
          <w:sz w:val="24"/>
          <w:szCs w:val="24"/>
          <w:rtl/>
        </w:rPr>
        <w:t xml:space="preserve">). על פי התקנה, רשאי מנהל בית הסוהר, על פי כללים שקבע נציב שירות בתי הסוהר (להלן: </w:t>
      </w:r>
      <w:r>
        <w:rPr>
          <w:rFonts w:ascii="Miriam" w:hAnsi="Miriam" w:cs="Miriam"/>
          <w:b/>
          <w:bCs/>
          <w:sz w:val="24"/>
          <w:szCs w:val="24"/>
          <w:rtl/>
        </w:rPr>
        <w:t>הנציב</w:t>
      </w:r>
      <w:r>
        <w:rPr>
          <w:rFonts w:ascii="David" w:hAnsi="David" w:cs="David"/>
          <w:sz w:val="24"/>
          <w:szCs w:val="24"/>
          <w:rtl/>
        </w:rPr>
        <w:t xml:space="preserve">), כאמור בפסקה הקודמת, להעניק לאסירים או לאסירים מסוימים טובות הנאה כגון: ביקורים, מכתבים, חופשות, קניית מצרכים, האזנה לשידורים בכלי-תקשורת. טובות ההנאה מותנות, בין היתר, בהתנהגותו האסיר. </w:t>
      </w:r>
    </w:p>
    <w:p w:rsidR="002D6887" w:rsidRDefault="002D6887" w:rsidP="002D6887">
      <w:pPr>
        <w:pStyle w:val="ae"/>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סעיף 36(א) לפקודת בתי הסוהר קובע כי "</w:t>
      </w:r>
      <w:r>
        <w:rPr>
          <w:rFonts w:ascii="Miriam" w:hAnsi="Miriam" w:cs="Miriam"/>
          <w:sz w:val="24"/>
          <w:szCs w:val="24"/>
          <w:rtl/>
        </w:rPr>
        <w:t>השר רשאי, על פי בקשת אסיר או על פי המלצת הנציב, לתת לאסיר, בתנאים שייראו לשר, חופשה מיוחדת שלא תעלה על תשעים ושש שעות</w:t>
      </w:r>
      <w:r>
        <w:rPr>
          <w:rFonts w:ascii="David" w:hAnsi="David" w:cs="David"/>
          <w:sz w:val="24"/>
          <w:szCs w:val="24"/>
          <w:rtl/>
        </w:rPr>
        <w:t xml:space="preserve">". מכוח האמור לעיל ובהתאם לסעיף זה ולנוהל השר 02.2.01 (להלן: </w:t>
      </w:r>
      <w:r>
        <w:rPr>
          <w:rFonts w:ascii="Miriam" w:hAnsi="Miriam" w:cs="Miriam"/>
          <w:b/>
          <w:bCs/>
          <w:sz w:val="24"/>
          <w:szCs w:val="24"/>
          <w:rtl/>
        </w:rPr>
        <w:t>נוהל השר</w:t>
      </w:r>
      <w:r>
        <w:rPr>
          <w:rFonts w:ascii="David" w:hAnsi="David" w:cs="David"/>
          <w:sz w:val="24"/>
          <w:szCs w:val="24"/>
          <w:rtl/>
        </w:rPr>
        <w:t xml:space="preserve">) הוציא הנציב את פקודת נציבות בתי הסוהר 04.40.00 – חופשות אסירים (להלן: </w:t>
      </w:r>
      <w:r>
        <w:rPr>
          <w:rFonts w:ascii="Miriam" w:hAnsi="Miriam" w:cs="Miriam"/>
          <w:b/>
          <w:bCs/>
          <w:sz w:val="24"/>
          <w:szCs w:val="24"/>
          <w:rtl/>
        </w:rPr>
        <w:t>הפקודה</w:t>
      </w:r>
      <w:r>
        <w:rPr>
          <w:rFonts w:ascii="David" w:hAnsi="David" w:cs="David"/>
          <w:sz w:val="24"/>
          <w:szCs w:val="24"/>
          <w:rtl/>
        </w:rPr>
        <w:t xml:space="preserve">). </w:t>
      </w:r>
    </w:p>
    <w:p w:rsidR="002D6887" w:rsidRDefault="002D6887" w:rsidP="002D6887">
      <w:pPr>
        <w:pStyle w:val="ae"/>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הפקודה מגדירה את מטרת מתן החופשה לאסיר באופן הבא: "</w:t>
      </w:r>
      <w:r>
        <w:rPr>
          <w:rFonts w:ascii="Miriam" w:hAnsi="Miriam" w:cs="Miriam"/>
          <w:sz w:val="24"/>
          <w:szCs w:val="24"/>
          <w:rtl/>
        </w:rPr>
        <w:t>חיזוק הקשר בין האסיר לבין משפחתו וקהילת מגוריו, הקלה זמנית בחסכים שהמאסר גרם ויצירת תמריץ להתנהגות טובה של האסיר בבית הסוהר"</w:t>
      </w:r>
      <w:r>
        <w:rPr>
          <w:rFonts w:ascii="Miriam" w:hAnsi="Miriam" w:cs="Miriam"/>
          <w:b/>
          <w:bCs/>
          <w:sz w:val="24"/>
          <w:szCs w:val="24"/>
          <w:rtl/>
        </w:rPr>
        <w:t xml:space="preserve"> </w:t>
      </w:r>
      <w:r>
        <w:rPr>
          <w:rFonts w:ascii="David" w:hAnsi="David" w:cs="David"/>
          <w:sz w:val="24"/>
          <w:szCs w:val="24"/>
          <w:rtl/>
        </w:rPr>
        <w:t xml:space="preserve">(סעיף ב'1 לפקודה). </w:t>
      </w:r>
    </w:p>
    <w:p w:rsidR="00E14BDF" w:rsidRDefault="00E14BDF">
      <w:pPr>
        <w:bidi w:val="0"/>
        <w:rPr>
          <w:rFonts w:ascii="David" w:eastAsiaTheme="minorHAnsi" w:hAnsi="David"/>
          <w:noProof w:val="0"/>
        </w:rPr>
      </w:pPr>
      <w:r>
        <w:rPr>
          <w:rFonts w:ascii="David" w:hAnsi="David"/>
          <w:rtl/>
        </w:rPr>
        <w:br w:type="page"/>
      </w: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b/>
          <w:bCs/>
          <w:sz w:val="24"/>
          <w:szCs w:val="24"/>
          <w:rtl/>
        </w:rPr>
        <w:lastRenderedPageBreak/>
        <w:t>מסגרת שיקול הדעת בכל הקשור להוצאת אסיר לחופשה נקבעה בסעיף ג' לפקודה</w:t>
      </w:r>
      <w:r>
        <w:rPr>
          <w:rFonts w:ascii="David" w:hAnsi="David" w:cs="David"/>
          <w:sz w:val="24"/>
          <w:szCs w:val="24"/>
          <w:rtl/>
        </w:rPr>
        <w:t xml:space="preserve">. השיקולים הצריכים לעניין הם: סוג העבירה, טיבה ונסיבותיה; סיווג לקטגוריה המאפשרת חופשה; ריצוי תקופת מאסר מינימלית; תפקוד חיובי של האסיר בבית הסוהר; מידת הסכנה הנשקפת לשלום הציבור מן האסיר במהלך החופשה והסיכוי שלא ישוב ממנה.  </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הפקודה מבחינה בין שני סוגים של חופשות: חופשה "רגילה" וחופשה מטעמים מיוחדים. </w:t>
      </w:r>
      <w:r>
        <w:rPr>
          <w:rFonts w:ascii="David" w:hAnsi="David" w:cs="David"/>
          <w:sz w:val="24"/>
          <w:szCs w:val="24"/>
          <w:u w:val="single"/>
          <w:rtl/>
        </w:rPr>
        <w:t>חופשה "רגילה"</w:t>
      </w:r>
      <w:r>
        <w:rPr>
          <w:rFonts w:ascii="David" w:hAnsi="David" w:cs="David"/>
          <w:sz w:val="24"/>
          <w:szCs w:val="24"/>
          <w:rtl/>
        </w:rPr>
        <w:t xml:space="preserve"> היא שילוב האסיר בסבב חופשות, אשר מִשְכן ותדירותן משתנה. התדירות המקסימלית של חופשות אסירים היא פעמיים בחודש (אסירים המשולבים באגף שיקום פרטני) והמֶשֶך המקסימלי של חופשה הוא 96 שעות. </w:t>
      </w:r>
      <w:r>
        <w:rPr>
          <w:rFonts w:ascii="David" w:hAnsi="David" w:cs="David"/>
          <w:sz w:val="24"/>
          <w:szCs w:val="24"/>
          <w:u w:val="single"/>
          <w:rtl/>
        </w:rPr>
        <w:t>חופשה מטעמים מיוחדים</w:t>
      </w:r>
      <w:r>
        <w:rPr>
          <w:rFonts w:ascii="David" w:hAnsi="David" w:cs="David"/>
          <w:sz w:val="24"/>
          <w:szCs w:val="24"/>
          <w:rtl/>
        </w:rPr>
        <w:t>, הקבועה בפרק ח' לפקודה, כשמה כן היא: חופשה הניתנת לאסיר לצורך מסוים, כגון שמחה משפחתית או אבל. העתירה הנוכחית אינה עוסקת בחופשה מטעמים מיוחדים.</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פרק ב' לפקודה מגדיר מספר אוכלוסיות מיוחדות, להן לא תינתן חופשה "רגילה":</w:t>
      </w:r>
    </w:p>
    <w:p w:rsidR="002D6887" w:rsidRDefault="002D6887" w:rsidP="002D6887">
      <w:pPr>
        <w:pStyle w:val="ae"/>
        <w:rPr>
          <w:rFonts w:ascii="David" w:hAnsi="David" w:cs="David"/>
          <w:sz w:val="24"/>
          <w:szCs w:val="24"/>
        </w:rPr>
      </w:pPr>
    </w:p>
    <w:p w:rsidR="002D6887" w:rsidRDefault="002D6887" w:rsidP="002D6887">
      <w:pPr>
        <w:pStyle w:val="ae"/>
        <w:shd w:val="clear" w:color="auto" w:fill="F2F2F2" w:themeFill="background1" w:themeFillShade="F2"/>
        <w:spacing w:after="0" w:line="360" w:lineRule="auto"/>
        <w:ind w:left="368" w:right="284"/>
        <w:jc w:val="both"/>
        <w:rPr>
          <w:rFonts w:ascii="Miriam" w:hAnsi="Miriam" w:cs="Miriam"/>
          <w:b/>
          <w:bCs/>
          <w:sz w:val="24"/>
          <w:szCs w:val="24"/>
          <w:rtl/>
        </w:rPr>
      </w:pPr>
      <w:r>
        <w:rPr>
          <w:rFonts w:ascii="Miriam" w:hAnsi="Miriam" w:cs="Miriam"/>
          <w:sz w:val="24"/>
          <w:szCs w:val="24"/>
          <w:rtl/>
        </w:rPr>
        <w:t xml:space="preserve">"ו. לאסיר הנמנה על אחת הקבוצות שלהלן, </w:t>
      </w:r>
      <w:r>
        <w:rPr>
          <w:rFonts w:ascii="Miriam" w:hAnsi="Miriam" w:cs="Miriam"/>
          <w:b/>
          <w:bCs/>
          <w:sz w:val="24"/>
          <w:szCs w:val="24"/>
          <w:rtl/>
        </w:rPr>
        <w:t>תינתן חופשה מטעמים מיוחדים בלבד ורק באישור הנציב:</w:t>
      </w:r>
    </w:p>
    <w:p w:rsidR="002D6887" w:rsidRDefault="002D6887" w:rsidP="002D6887">
      <w:pPr>
        <w:shd w:val="clear" w:color="auto" w:fill="F2F2F2" w:themeFill="background1" w:themeFillShade="F2"/>
        <w:spacing w:line="360" w:lineRule="auto"/>
        <w:ind w:left="368" w:right="284"/>
        <w:jc w:val="both"/>
        <w:rPr>
          <w:rFonts w:ascii="Miriam" w:hAnsi="Miriam" w:cs="Miriam"/>
        </w:rPr>
      </w:pPr>
      <w:r>
        <w:rPr>
          <w:rFonts w:ascii="Miriam" w:hAnsi="Miriam" w:cs="Miriam"/>
          <w:rtl/>
        </w:rPr>
        <w:t>1. חופשה של אסיר ביטחוני בכפוף להתקיימות התנאים כמפורט בסעיף כד1(1);</w:t>
      </w:r>
    </w:p>
    <w:p w:rsidR="002D6887" w:rsidRDefault="002D6887" w:rsidP="002D6887">
      <w:pPr>
        <w:shd w:val="clear" w:color="auto" w:fill="F2F2F2" w:themeFill="background1" w:themeFillShade="F2"/>
        <w:spacing w:line="360" w:lineRule="auto"/>
        <w:ind w:left="368" w:right="284"/>
        <w:jc w:val="both"/>
        <w:rPr>
          <w:rFonts w:ascii="Miriam" w:hAnsi="Miriam" w:cs="Miriam"/>
          <w:rtl/>
        </w:rPr>
      </w:pPr>
      <w:r>
        <w:rPr>
          <w:rFonts w:ascii="Miriam" w:hAnsi="Miriam" w:cs="Miriam"/>
          <w:rtl/>
        </w:rPr>
        <w:t>2. אסיר השפוט למאסר עולם שעונשו לא נקצב;</w:t>
      </w:r>
    </w:p>
    <w:p w:rsidR="002D6887" w:rsidRDefault="002D6887" w:rsidP="002D6887">
      <w:pPr>
        <w:shd w:val="clear" w:color="auto" w:fill="F2F2F2" w:themeFill="background1" w:themeFillShade="F2"/>
        <w:spacing w:line="360" w:lineRule="auto"/>
        <w:ind w:left="368" w:right="284"/>
        <w:jc w:val="both"/>
        <w:rPr>
          <w:rFonts w:ascii="Miriam" w:hAnsi="Miriam" w:cs="Miriam"/>
          <w:rtl/>
        </w:rPr>
      </w:pPr>
      <w:r>
        <w:rPr>
          <w:rFonts w:ascii="Miriam" w:hAnsi="Miriam" w:cs="Miriam"/>
          <w:rtl/>
        </w:rPr>
        <w:t xml:space="preserve">3. חופשה ראשונה של אסיר השפוט למאסר עולם, שעונשו נקצב; וכן חידוש אישור      </w:t>
      </w:r>
    </w:p>
    <w:p w:rsidR="002D6887" w:rsidRDefault="002D6887" w:rsidP="002D6887">
      <w:pPr>
        <w:pStyle w:val="ae"/>
        <w:shd w:val="clear" w:color="auto" w:fill="F2F2F2" w:themeFill="background1" w:themeFillShade="F2"/>
        <w:spacing w:after="0" w:line="360" w:lineRule="auto"/>
        <w:ind w:left="368" w:right="284"/>
        <w:jc w:val="both"/>
        <w:rPr>
          <w:rFonts w:ascii="Miriam" w:hAnsi="Miriam" w:cs="Miriam"/>
          <w:sz w:val="24"/>
          <w:szCs w:val="24"/>
          <w:rtl/>
        </w:rPr>
      </w:pPr>
      <w:r>
        <w:rPr>
          <w:rFonts w:ascii="Miriam" w:hAnsi="Miriam" w:cs="Miriam"/>
          <w:sz w:val="24"/>
          <w:szCs w:val="24"/>
          <w:rtl/>
        </w:rPr>
        <w:t xml:space="preserve">    יציאתו לחופשה של אסיר כאמור, אם הופסקו חופשותיו;</w:t>
      </w:r>
      <w:r>
        <w:rPr>
          <w:rFonts w:ascii="Miriam" w:hAnsi="Miriam" w:cs="Miriam"/>
          <w:sz w:val="24"/>
          <w:szCs w:val="24"/>
        </w:rPr>
        <w:t xml:space="preserve"> </w:t>
      </w:r>
    </w:p>
    <w:p w:rsidR="002D6887" w:rsidRDefault="002D6887" w:rsidP="002D6887">
      <w:pPr>
        <w:pStyle w:val="ae"/>
        <w:shd w:val="clear" w:color="auto" w:fill="F2F2F2" w:themeFill="background1" w:themeFillShade="F2"/>
        <w:spacing w:after="0" w:line="360" w:lineRule="auto"/>
        <w:ind w:left="368" w:right="284"/>
        <w:jc w:val="both"/>
        <w:rPr>
          <w:rFonts w:ascii="Miriam" w:hAnsi="Miriam" w:cs="Miriam"/>
          <w:b/>
          <w:bCs/>
          <w:sz w:val="24"/>
          <w:szCs w:val="24"/>
          <w:rtl/>
        </w:rPr>
      </w:pPr>
      <w:r>
        <w:rPr>
          <w:rFonts w:ascii="Miriam" w:hAnsi="Miriam" w:cs="Miriam"/>
          <w:sz w:val="24"/>
          <w:szCs w:val="24"/>
        </w:rPr>
        <w:t>4</w:t>
      </w:r>
      <w:r>
        <w:rPr>
          <w:rFonts w:ascii="Miriam" w:hAnsi="Miriam" w:cs="Miriam"/>
          <w:sz w:val="24"/>
          <w:szCs w:val="24"/>
          <w:rtl/>
        </w:rPr>
        <w:t>.</w:t>
      </w:r>
      <w:r>
        <w:rPr>
          <w:rFonts w:ascii="Miriam" w:hAnsi="Miriam" w:cs="Miriam"/>
          <w:sz w:val="24"/>
          <w:szCs w:val="24"/>
        </w:rPr>
        <w:t xml:space="preserve"> </w:t>
      </w:r>
      <w:r>
        <w:rPr>
          <w:rFonts w:ascii="Miriam" w:hAnsi="Miriam" w:cs="Miriam"/>
          <w:b/>
          <w:bCs/>
          <w:sz w:val="24"/>
          <w:szCs w:val="24"/>
          <w:rtl/>
        </w:rPr>
        <w:t>אסיר תושב הרשות הפלסטינית</w:t>
      </w:r>
      <w:r>
        <w:rPr>
          <w:rFonts w:ascii="Miriam" w:hAnsi="Miriam" w:cs="Miriam"/>
          <w:b/>
          <w:bCs/>
          <w:sz w:val="24"/>
          <w:szCs w:val="24"/>
        </w:rPr>
        <w:t>;</w:t>
      </w:r>
    </w:p>
    <w:p w:rsidR="002D6887" w:rsidRDefault="002D6887" w:rsidP="002D6887">
      <w:pPr>
        <w:pStyle w:val="ae"/>
        <w:shd w:val="clear" w:color="auto" w:fill="F2F2F2" w:themeFill="background1" w:themeFillShade="F2"/>
        <w:spacing w:after="0" w:line="360" w:lineRule="auto"/>
        <w:ind w:left="368" w:right="284"/>
        <w:jc w:val="both"/>
        <w:rPr>
          <w:rFonts w:ascii="Miriam" w:hAnsi="Miriam" w:cs="Miriam"/>
          <w:sz w:val="24"/>
          <w:szCs w:val="24"/>
          <w:rtl/>
        </w:rPr>
      </w:pPr>
      <w:r>
        <w:rPr>
          <w:rFonts w:ascii="Miriam" w:hAnsi="Miriam" w:cs="Miriam"/>
          <w:sz w:val="24"/>
          <w:szCs w:val="24"/>
          <w:rtl/>
        </w:rPr>
        <w:t>5. אסיר המוחזק מכוח צו הרחקה או צו הסגרה</w:t>
      </w:r>
      <w:r>
        <w:rPr>
          <w:rFonts w:ascii="Miriam" w:hAnsi="Miriam" w:cs="Miriam"/>
          <w:sz w:val="24"/>
          <w:szCs w:val="24"/>
        </w:rPr>
        <w:t>;</w:t>
      </w:r>
    </w:p>
    <w:p w:rsidR="002D6887" w:rsidRDefault="002D6887" w:rsidP="002D6887">
      <w:pPr>
        <w:pStyle w:val="ae"/>
        <w:shd w:val="clear" w:color="auto" w:fill="F2F2F2" w:themeFill="background1" w:themeFillShade="F2"/>
        <w:spacing w:after="0" w:line="360" w:lineRule="auto"/>
        <w:ind w:left="368" w:right="284"/>
        <w:jc w:val="both"/>
        <w:rPr>
          <w:rFonts w:ascii="Miriam" w:hAnsi="Miriam" w:cs="Miriam"/>
          <w:sz w:val="24"/>
          <w:szCs w:val="24"/>
          <w:rtl/>
        </w:rPr>
      </w:pPr>
      <w:r>
        <w:rPr>
          <w:rFonts w:ascii="Miriam" w:hAnsi="Miriam" w:cs="Miriam"/>
          <w:sz w:val="24"/>
          <w:szCs w:val="24"/>
          <w:rtl/>
        </w:rPr>
        <w:t>6. אסיר אזרחי, כהגדרתו בפקודת בתי הסוהר</w:t>
      </w:r>
      <w:r>
        <w:rPr>
          <w:rFonts w:ascii="Miriam" w:hAnsi="Miriam" w:cs="Miriam"/>
          <w:sz w:val="24"/>
          <w:szCs w:val="24"/>
        </w:rPr>
        <w:t>; .</w:t>
      </w:r>
    </w:p>
    <w:p w:rsidR="002D6887" w:rsidRDefault="002D6887" w:rsidP="002D6887">
      <w:pPr>
        <w:pStyle w:val="ae"/>
        <w:shd w:val="clear" w:color="auto" w:fill="F2F2F2" w:themeFill="background1" w:themeFillShade="F2"/>
        <w:spacing w:after="0" w:line="360" w:lineRule="auto"/>
        <w:ind w:left="368" w:right="284"/>
        <w:jc w:val="both"/>
        <w:rPr>
          <w:rFonts w:ascii="Miriam" w:hAnsi="Miriam" w:cs="Miriam"/>
          <w:sz w:val="24"/>
          <w:szCs w:val="24"/>
          <w:rtl/>
        </w:rPr>
      </w:pPr>
      <w:r>
        <w:rPr>
          <w:rFonts w:ascii="Miriam" w:hAnsi="Miriam" w:cs="Miriam"/>
          <w:sz w:val="24"/>
          <w:szCs w:val="24"/>
          <w:rtl/>
        </w:rPr>
        <w:t xml:space="preserve">7. אסיר המסווג לקטגוריה א' אשר הורשע בביצוע עבירות לפי חוק המאבק בארגוני     </w:t>
      </w:r>
    </w:p>
    <w:p w:rsidR="002D6887" w:rsidRDefault="002D6887" w:rsidP="002D6887">
      <w:pPr>
        <w:pStyle w:val="ae"/>
        <w:shd w:val="clear" w:color="auto" w:fill="F2F2F2" w:themeFill="background1" w:themeFillShade="F2"/>
        <w:spacing w:after="0" w:line="360" w:lineRule="auto"/>
        <w:ind w:left="368" w:right="284"/>
        <w:jc w:val="both"/>
        <w:rPr>
          <w:rFonts w:ascii="Miriam" w:hAnsi="Miriam" w:cs="Miriam"/>
          <w:sz w:val="24"/>
          <w:szCs w:val="24"/>
          <w:rtl/>
        </w:rPr>
      </w:pPr>
      <w:r>
        <w:rPr>
          <w:rFonts w:ascii="Miriam" w:hAnsi="Miriam" w:cs="Miriam"/>
          <w:sz w:val="24"/>
          <w:szCs w:val="24"/>
          <w:rtl/>
        </w:rPr>
        <w:t xml:space="preserve">   פשיעה, התשס"ג-2003 או אסיר שהוגדר כחבר בארגון פשיעה..." </w:t>
      </w:r>
    </w:p>
    <w:p w:rsidR="002D6887" w:rsidRDefault="002D6887" w:rsidP="002D6887">
      <w:pPr>
        <w:spacing w:line="360" w:lineRule="auto"/>
        <w:ind w:firstLine="368"/>
        <w:jc w:val="both"/>
        <w:rPr>
          <w:rFonts w:ascii="David" w:hAnsi="David"/>
          <w:rtl/>
        </w:rPr>
      </w:pPr>
    </w:p>
    <w:p w:rsidR="002D6887" w:rsidRDefault="002D6887" w:rsidP="002D6887">
      <w:pPr>
        <w:spacing w:line="360" w:lineRule="auto"/>
        <w:ind w:firstLine="368"/>
        <w:jc w:val="both"/>
        <w:rPr>
          <w:rFonts w:ascii="David" w:hAnsi="David"/>
          <w:rtl/>
        </w:rPr>
      </w:pPr>
      <w:r>
        <w:rPr>
          <w:rFonts w:ascii="David" w:hAnsi="David"/>
          <w:rtl/>
        </w:rPr>
        <w:t xml:space="preserve">(ההדגשות אינן במקור – מ' ק') </w:t>
      </w:r>
    </w:p>
    <w:p w:rsidR="002D6887" w:rsidRDefault="002D6887" w:rsidP="002D6887">
      <w:pPr>
        <w:pStyle w:val="ad"/>
        <w:rPr>
          <w:rtl/>
        </w:rPr>
      </w:pPr>
    </w:p>
    <w:p w:rsidR="00E14BDF" w:rsidRDefault="00E14BDF"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נוסף על האמור, בסעיף כ"ה לפקודה, המצוי בפרק ו' ועוסק בהליך הטיפול בבקשה להוצאה לחופשה מיוחדת של אוכלוסיות מיוחדות, נקבעו ההוראות הבאות בנוגע לאסירים תושבי הרשות הפלסטינית: </w:t>
      </w:r>
    </w:p>
    <w:p w:rsidR="002D6887" w:rsidRDefault="002D6887" w:rsidP="002D6887">
      <w:pPr>
        <w:pStyle w:val="ae"/>
        <w:spacing w:after="0" w:line="360" w:lineRule="auto"/>
        <w:ind w:left="360" w:right="284"/>
        <w:jc w:val="both"/>
        <w:rPr>
          <w:rFonts w:ascii="David" w:hAnsi="David" w:cs="David"/>
          <w:sz w:val="24"/>
          <w:szCs w:val="24"/>
          <w:rtl/>
        </w:rPr>
      </w:pPr>
    </w:p>
    <w:p w:rsidR="002D6887" w:rsidRDefault="002D6887" w:rsidP="002D6887">
      <w:pPr>
        <w:pStyle w:val="ae"/>
        <w:shd w:val="clear" w:color="auto" w:fill="F2F2F2" w:themeFill="background1" w:themeFillShade="F2"/>
        <w:spacing w:after="0" w:line="360" w:lineRule="auto"/>
        <w:ind w:left="360" w:right="284"/>
        <w:jc w:val="both"/>
        <w:rPr>
          <w:rFonts w:ascii="Miriam" w:hAnsi="Miriam" w:cs="Miriam"/>
          <w:sz w:val="24"/>
          <w:szCs w:val="24"/>
          <w:rtl/>
        </w:rPr>
      </w:pPr>
      <w:r>
        <w:rPr>
          <w:rFonts w:ascii="Miriam" w:hAnsi="Miriam" w:cs="Miriam"/>
          <w:sz w:val="24"/>
          <w:szCs w:val="24"/>
          <w:rtl/>
        </w:rPr>
        <w:t xml:space="preserve">"1. ככלל, לא יומלץ בפני הנציב לאשר יציאתו לחופשה של אסיר תושב הרשות הפלסטינית". </w:t>
      </w:r>
    </w:p>
    <w:p w:rsidR="002D6887" w:rsidRDefault="002D6887" w:rsidP="002D6887">
      <w:pPr>
        <w:pStyle w:val="ae"/>
        <w:shd w:val="clear" w:color="auto" w:fill="F2F2F2" w:themeFill="background1" w:themeFillShade="F2"/>
        <w:spacing w:after="0" w:line="360" w:lineRule="auto"/>
        <w:ind w:left="360" w:right="284"/>
        <w:jc w:val="both"/>
        <w:rPr>
          <w:rFonts w:ascii="Miriam" w:hAnsi="Miriam" w:cs="Miriam"/>
          <w:b/>
          <w:bCs/>
          <w:sz w:val="24"/>
          <w:szCs w:val="24"/>
          <w:rtl/>
        </w:rPr>
      </w:pPr>
      <w:r>
        <w:rPr>
          <w:rFonts w:ascii="Miriam" w:hAnsi="Miriam" w:cs="Miriam"/>
          <w:sz w:val="24"/>
          <w:szCs w:val="24"/>
          <w:rtl/>
        </w:rPr>
        <w:lastRenderedPageBreak/>
        <w:t xml:space="preserve">2. על אף האמור בסעיף קטן (1) לעיל, פנה בבקשה לחופשה אסיר תושב הרשות הפלסטינית ופירט בבקשתו נסיבות מיוחדות וחריגות המצביעות על כך שעל אף חזקת המסוכנות הקיימת ביחס לאסירים תושבי הרשות הפלסטינית נוכח המצב הביטחוני, ניתן להגיע למסקנה ברורה וחד משמעית כי בעניינו החזקה האמורה אינה מתקיימת - </w:t>
      </w:r>
      <w:r>
        <w:rPr>
          <w:rFonts w:ascii="Miriam" w:hAnsi="Miriam" w:cs="Miriam"/>
          <w:b/>
          <w:bCs/>
          <w:sz w:val="24"/>
          <w:szCs w:val="24"/>
          <w:rtl/>
        </w:rPr>
        <w:t>ניתן להמליץ בפני הנציב על הוצאתו לחופשה</w:t>
      </w:r>
      <w:r>
        <w:rPr>
          <w:rFonts w:ascii="Miriam" w:hAnsi="Miriam" w:cs="Miriam"/>
          <w:sz w:val="24"/>
          <w:szCs w:val="24"/>
          <w:rtl/>
        </w:rPr>
        <w:t xml:space="preserve"> </w:t>
      </w:r>
      <w:r>
        <w:rPr>
          <w:rFonts w:ascii="Miriam" w:hAnsi="Miriam" w:cs="Miriam"/>
          <w:b/>
          <w:bCs/>
          <w:sz w:val="24"/>
          <w:szCs w:val="24"/>
          <w:rtl/>
        </w:rPr>
        <w:t>וזאת מטעמים מיוחדים בלבד</w:t>
      </w:r>
      <w:r>
        <w:rPr>
          <w:rFonts w:ascii="Miriam" w:hAnsi="Miriam" w:cs="Miriam"/>
          <w:b/>
          <w:bCs/>
          <w:sz w:val="24"/>
          <w:szCs w:val="24"/>
        </w:rPr>
        <w:t>."</w:t>
      </w:r>
    </w:p>
    <w:p w:rsidR="002D6887" w:rsidRDefault="002D6887" w:rsidP="002D6887">
      <w:pPr>
        <w:pStyle w:val="ae"/>
        <w:shd w:val="clear" w:color="auto" w:fill="F2F2F2" w:themeFill="background1" w:themeFillShade="F2"/>
        <w:spacing w:after="0" w:line="360" w:lineRule="auto"/>
        <w:ind w:left="360" w:right="284"/>
        <w:jc w:val="both"/>
        <w:rPr>
          <w:rFonts w:ascii="Miriam" w:hAnsi="Miriam" w:cs="Miriam"/>
          <w:sz w:val="24"/>
          <w:szCs w:val="24"/>
          <w:rtl/>
        </w:rPr>
      </w:pPr>
      <w:r>
        <w:rPr>
          <w:rFonts w:ascii="Miriam" w:hAnsi="Miriam" w:cs="Miriam"/>
          <w:b/>
          <w:bCs/>
          <w:sz w:val="24"/>
          <w:szCs w:val="24"/>
          <w:rtl/>
        </w:rPr>
        <w:t>3</w:t>
      </w:r>
      <w:r>
        <w:rPr>
          <w:rFonts w:ascii="Miriam" w:hAnsi="Miriam" w:cs="Miriam"/>
          <w:sz w:val="24"/>
          <w:szCs w:val="24"/>
          <w:rtl/>
        </w:rPr>
        <w:t xml:space="preserve">. בקשת אסיר תושב הרשות הפלסטינית ליציאה לחופשה כאמור בסעיף קטן 2 לעיל, תיבחן על ידי מפקד המחוז או </w:t>
      </w:r>
      <w:proofErr w:type="spellStart"/>
      <w:r>
        <w:rPr>
          <w:rFonts w:ascii="Miriam" w:hAnsi="Miriam" w:cs="Miriam"/>
          <w:sz w:val="24"/>
          <w:szCs w:val="24"/>
          <w:rtl/>
        </w:rPr>
        <w:t>סגנו</w:t>
      </w:r>
      <w:proofErr w:type="spellEnd"/>
      <w:r>
        <w:rPr>
          <w:rFonts w:ascii="Miriam" w:hAnsi="Miriam" w:cs="Miriam"/>
          <w:sz w:val="24"/>
          <w:szCs w:val="24"/>
          <w:rtl/>
        </w:rPr>
        <w:t xml:space="preserve"> (להלן: "הגורם הממליץ"), על יסוד קבלת כלל ההתייחסויות והמסמכים המפורטים בסעיף ט', פרק ב.</w:t>
      </w:r>
    </w:p>
    <w:p w:rsidR="002D6887" w:rsidRDefault="002D6887" w:rsidP="002D6887">
      <w:pPr>
        <w:pStyle w:val="ae"/>
        <w:shd w:val="clear" w:color="auto" w:fill="F2F2F2" w:themeFill="background1" w:themeFillShade="F2"/>
        <w:spacing w:after="0" w:line="360" w:lineRule="auto"/>
        <w:ind w:left="360" w:right="284"/>
        <w:jc w:val="both"/>
        <w:rPr>
          <w:rFonts w:ascii="Miriam" w:hAnsi="Miriam" w:cs="Miriam"/>
          <w:sz w:val="24"/>
          <w:szCs w:val="24"/>
          <w:rtl/>
        </w:rPr>
      </w:pPr>
      <w:r>
        <w:rPr>
          <w:rFonts w:ascii="Miriam" w:hAnsi="Miriam" w:cs="Miriam"/>
          <w:b/>
          <w:bCs/>
          <w:sz w:val="24"/>
          <w:szCs w:val="24"/>
          <w:rtl/>
        </w:rPr>
        <w:t>4</w:t>
      </w:r>
      <w:r>
        <w:rPr>
          <w:rFonts w:ascii="Miriam" w:hAnsi="Miriam" w:cs="Miriam"/>
          <w:sz w:val="24"/>
          <w:szCs w:val="24"/>
          <w:rtl/>
        </w:rPr>
        <w:t>.</w:t>
      </w:r>
      <w:r>
        <w:rPr>
          <w:rFonts w:ascii="Miriam" w:hAnsi="Miriam" w:cs="Miriam"/>
          <w:sz w:val="24"/>
          <w:szCs w:val="24"/>
        </w:rPr>
        <w:t xml:space="preserve"> </w:t>
      </w:r>
      <w:r>
        <w:rPr>
          <w:rFonts w:ascii="Miriam" w:hAnsi="Miriam" w:cs="Miriam"/>
          <w:sz w:val="24"/>
          <w:szCs w:val="24"/>
          <w:rtl/>
        </w:rPr>
        <w:t>הגורם הממליץ כאמור בסעיף קטן 3 לעיל יעביר המלצה מנומקת בכתב לנציב בצירוף כלל המסמכים הדרושים לעניין, תוך התייחסות לנטען על ידי האסיר המבקש כמפורט בסעיף קטן (2) לעיל</w:t>
      </w:r>
      <w:r>
        <w:rPr>
          <w:rFonts w:ascii="Miriam" w:hAnsi="Miriam" w:cs="Miriam"/>
          <w:sz w:val="24"/>
          <w:szCs w:val="24"/>
        </w:rPr>
        <w:t>.</w:t>
      </w:r>
    </w:p>
    <w:p w:rsidR="002D6887" w:rsidRDefault="002D6887" w:rsidP="002D6887">
      <w:pPr>
        <w:spacing w:line="360" w:lineRule="auto"/>
        <w:ind w:firstLine="360"/>
        <w:jc w:val="both"/>
        <w:rPr>
          <w:rFonts w:ascii="David" w:hAnsi="David"/>
          <w:rtl/>
        </w:rPr>
      </w:pPr>
    </w:p>
    <w:p w:rsidR="002D6887" w:rsidRDefault="002D6887" w:rsidP="002D6887">
      <w:pPr>
        <w:spacing w:line="360" w:lineRule="auto"/>
        <w:ind w:firstLine="360"/>
        <w:jc w:val="both"/>
        <w:rPr>
          <w:rFonts w:ascii="David" w:hAnsi="David"/>
          <w:rtl/>
        </w:rPr>
      </w:pPr>
      <w:r>
        <w:rPr>
          <w:rFonts w:ascii="David" w:hAnsi="David"/>
          <w:rtl/>
        </w:rPr>
        <w:t>(ההדגשות אינן במקור – מ' ק')</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הוראות הפקודה בנוגע לחופשותיהם של אסירים תושבי הרשות הפלסטינית עברו מספר שינויים.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בעבר לא חלו מגבלות מיוחדות על חופשות האסירים תושבי הרשות הפלסטינית. </w:t>
      </w:r>
    </w:p>
    <w:p w:rsidR="002D6887" w:rsidRDefault="002D6887" w:rsidP="002D6887">
      <w:pPr>
        <w:pStyle w:val="ae"/>
        <w:spacing w:after="0" w:line="360" w:lineRule="auto"/>
        <w:ind w:left="0" w:firstLine="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בחודש יולי 2001, בעקבות פיגועי טרור קשים, הוסף לפרק ו' לפקודה סעיף הקובע כי "</w:t>
      </w:r>
      <w:r>
        <w:rPr>
          <w:rFonts w:ascii="Miriam" w:hAnsi="Miriam" w:cs="Miriam"/>
          <w:sz w:val="24"/>
          <w:szCs w:val="24"/>
          <w:rtl/>
        </w:rPr>
        <w:t>ככלל לא יומלץ בפני השר לאשר יציאתו לחופשה של אסיר תושב הרשות הפלסטינית</w:t>
      </w:r>
      <w:r>
        <w:rPr>
          <w:rFonts w:ascii="David" w:hAnsi="David" w:cs="David"/>
          <w:sz w:val="24"/>
          <w:szCs w:val="24"/>
          <w:rtl/>
        </w:rPr>
        <w:t xml:space="preserve">". חוקיות סעיף זה נתקפה במספר עתירות אסירים. הערעורים על פסקי דין אלה נדונו על ידי בית המשפט העליון במאוחד במסגרת רע"ב 1698/02 </w:t>
      </w:r>
      <w:proofErr w:type="spellStart"/>
      <w:r>
        <w:rPr>
          <w:rFonts w:ascii="David" w:hAnsi="David" w:cs="David"/>
          <w:b/>
          <w:bCs/>
          <w:sz w:val="24"/>
          <w:szCs w:val="24"/>
          <w:rtl/>
        </w:rPr>
        <w:t>עיאדה</w:t>
      </w:r>
      <w:proofErr w:type="spellEnd"/>
      <w:r>
        <w:rPr>
          <w:rFonts w:ascii="David" w:hAnsi="David" w:cs="David"/>
          <w:b/>
          <w:bCs/>
          <w:sz w:val="24"/>
          <w:szCs w:val="24"/>
          <w:rtl/>
        </w:rPr>
        <w:t xml:space="preserve"> נ' שירות בתי הסוהר</w:t>
      </w:r>
      <w:r>
        <w:rPr>
          <w:rFonts w:ascii="David" w:hAnsi="David" w:cs="David"/>
          <w:sz w:val="24"/>
          <w:szCs w:val="24"/>
          <w:rtl/>
        </w:rPr>
        <w:t xml:space="preserve">. לאחר שנשמעו הערות בית המשפט הודיע שב"ס כי הסעיף ירוכך, כך שכל אסיר מקבוצה זו שנתון במאסר למעלה משלוש שנים תיבחן בקשתו לחופשה במסגרת וועדה מיוחדת. נוכח הודעה זו נמחקו הערעורים ביום 17.6.2004 (להלן: </w:t>
      </w:r>
      <w:r>
        <w:rPr>
          <w:rFonts w:ascii="Miriam" w:hAnsi="Miriam" w:cs="Miriam"/>
          <w:b/>
          <w:bCs/>
          <w:sz w:val="24"/>
          <w:szCs w:val="24"/>
          <w:rtl/>
        </w:rPr>
        <w:t xml:space="preserve">עניין </w:t>
      </w:r>
      <w:proofErr w:type="spellStart"/>
      <w:r>
        <w:rPr>
          <w:rFonts w:ascii="Miriam" w:hAnsi="Miriam" w:cs="Miriam"/>
          <w:b/>
          <w:bCs/>
          <w:sz w:val="24"/>
          <w:szCs w:val="24"/>
          <w:rtl/>
        </w:rPr>
        <w:t>עיאדה</w:t>
      </w:r>
      <w:proofErr w:type="spellEnd"/>
      <w:r>
        <w:rPr>
          <w:rFonts w:ascii="Miriam" w:hAnsi="Miriam" w:cs="Miriam"/>
          <w:sz w:val="24"/>
          <w:szCs w:val="24"/>
          <w:rtl/>
        </w:rPr>
        <w:t>)</w:t>
      </w:r>
      <w:r>
        <w:rPr>
          <w:rFonts w:ascii="David" w:hAnsi="David" w:cs="David"/>
          <w:sz w:val="24"/>
          <w:szCs w:val="24"/>
          <w:rtl/>
        </w:rPr>
        <w:t>.</w:t>
      </w:r>
    </w:p>
    <w:p w:rsidR="002D6887" w:rsidRDefault="002D6887" w:rsidP="002D6887">
      <w:pPr>
        <w:pStyle w:val="ae"/>
        <w:spacing w:after="0" w:line="360" w:lineRule="auto"/>
        <w:ind w:left="0" w:firstLine="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הפקודה תוקנה, ונקבע בה כי ניתן להמליץ בפני השר על הוצאתו לחופשה של אסיר פלילי תושב הרשות הפלסטינית, בהתקיים שני תנאים: </w:t>
      </w:r>
      <w:r>
        <w:rPr>
          <w:rFonts w:ascii="David" w:hAnsi="David" w:cs="David"/>
          <w:sz w:val="24"/>
          <w:szCs w:val="24"/>
          <w:u w:val="single"/>
          <w:rtl/>
        </w:rPr>
        <w:t>האחד</w:t>
      </w:r>
      <w:r>
        <w:rPr>
          <w:rFonts w:ascii="David" w:hAnsi="David" w:cs="David"/>
          <w:sz w:val="24"/>
          <w:szCs w:val="24"/>
          <w:rtl/>
        </w:rPr>
        <w:t xml:space="preserve">, האסיר שפוט לפרק זמן העולה על 3 שנים ועומד ביתר תנאי הפקודה לעניין יציאתו לחופשה. </w:t>
      </w:r>
      <w:r>
        <w:rPr>
          <w:rFonts w:ascii="David" w:hAnsi="David" w:cs="David"/>
          <w:sz w:val="24"/>
          <w:szCs w:val="24"/>
          <w:u w:val="single"/>
          <w:rtl/>
        </w:rPr>
        <w:t>והשני</w:t>
      </w:r>
      <w:r>
        <w:rPr>
          <w:rFonts w:ascii="David" w:hAnsi="David" w:cs="David"/>
          <w:sz w:val="24"/>
          <w:szCs w:val="24"/>
          <w:rtl/>
        </w:rPr>
        <w:t>, "</w:t>
      </w:r>
      <w:r>
        <w:rPr>
          <w:rFonts w:ascii="Miriam" w:hAnsi="Miriam" w:cs="Miriam"/>
          <w:sz w:val="24"/>
          <w:szCs w:val="24"/>
          <w:rtl/>
        </w:rPr>
        <w:t>האסיר פירט בבקשתו נסיבות מיוחדות וחריגות המצביעות על כך שעל אף חזקת המסוכנות הקיימת ביחס לאסירי תושבי הרשות הפלסטינית נוכח המצב הביטחוני, ניתן להגיע למסקנה ברורה וחד משמעית כי בעניינו החזקה האמורה אינה מתקיימת</w:t>
      </w:r>
      <w:r>
        <w:rPr>
          <w:rFonts w:ascii="David" w:hAnsi="David" w:cs="David"/>
          <w:sz w:val="24"/>
          <w:szCs w:val="24"/>
          <w:rtl/>
        </w:rPr>
        <w:t>". עוד נקבע כי הוועדה הבוחנת את בקשת האסיר תעיין לצורך זה גם בחוות דעת שירות הביטחון הכללי.</w:t>
      </w:r>
    </w:p>
    <w:p w:rsidR="002D6887" w:rsidRDefault="002D6887" w:rsidP="002D6887">
      <w:pPr>
        <w:pStyle w:val="ae"/>
        <w:spacing w:after="0" w:line="360" w:lineRule="auto"/>
        <w:ind w:left="0" w:firstLine="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lastRenderedPageBreak/>
        <w:t xml:space="preserve">המגבלה בפקודה המתוקנת עמדה אף היא לביקורת שיפוטית. </w:t>
      </w:r>
      <w:proofErr w:type="spellStart"/>
      <w:r>
        <w:rPr>
          <w:rFonts w:ascii="David" w:hAnsi="David" w:cs="David"/>
          <w:sz w:val="24"/>
          <w:szCs w:val="24"/>
          <w:rtl/>
        </w:rPr>
        <w:t>ברע"ב</w:t>
      </w:r>
      <w:proofErr w:type="spellEnd"/>
      <w:r>
        <w:rPr>
          <w:rFonts w:ascii="David" w:hAnsi="David" w:cs="David"/>
          <w:sz w:val="24"/>
          <w:szCs w:val="24"/>
          <w:rtl/>
        </w:rPr>
        <w:t xml:space="preserve"> 6023/06 </w:t>
      </w:r>
      <w:r>
        <w:rPr>
          <w:rFonts w:ascii="David" w:hAnsi="David" w:cs="David"/>
          <w:b/>
          <w:bCs/>
          <w:sz w:val="24"/>
          <w:szCs w:val="24"/>
          <w:rtl/>
        </w:rPr>
        <w:t>פלוני נ' שירות בתי הסוהר</w:t>
      </w:r>
      <w:r>
        <w:rPr>
          <w:rFonts w:ascii="David" w:hAnsi="David" w:cs="David"/>
          <w:sz w:val="24"/>
          <w:szCs w:val="24"/>
          <w:rtl/>
        </w:rPr>
        <w:t xml:space="preserve"> (8.2.2007) (להלן: </w:t>
      </w:r>
      <w:r>
        <w:rPr>
          <w:rFonts w:ascii="Miriam" w:hAnsi="Miriam" w:cs="Miriam"/>
          <w:b/>
          <w:bCs/>
          <w:sz w:val="24"/>
          <w:szCs w:val="24"/>
          <w:rtl/>
        </w:rPr>
        <w:t>רע"ב 6023/06</w:t>
      </w:r>
      <w:r>
        <w:rPr>
          <w:rFonts w:ascii="David" w:hAnsi="David" w:cs="David"/>
          <w:sz w:val="24"/>
          <w:szCs w:val="24"/>
          <w:rtl/>
        </w:rPr>
        <w:t xml:space="preserve">) דחה בית המשפט העליון, במותב </w:t>
      </w:r>
      <w:proofErr w:type="spellStart"/>
      <w:r>
        <w:rPr>
          <w:rFonts w:ascii="David" w:hAnsi="David" w:cs="David"/>
          <w:sz w:val="24"/>
          <w:szCs w:val="24"/>
          <w:rtl/>
        </w:rPr>
        <w:t>תלתא</w:t>
      </w:r>
      <w:proofErr w:type="spellEnd"/>
      <w:r>
        <w:rPr>
          <w:rFonts w:ascii="David" w:hAnsi="David" w:cs="David"/>
          <w:sz w:val="24"/>
          <w:szCs w:val="24"/>
          <w:rtl/>
        </w:rPr>
        <w:t>, בקשת רשות ערעור על פסק דין בעתירת אסיר, אשר התמקדה בהיעדר אמות מידה פרטניות לבחינת יציאה לחופשה של אסיר תושב הרשות הפלסטינית. בפסק הדין קבע בית המשפט העליון כי שילוב הוראות אלה עם יתר השיקולים האחרים הצריכים לעניין, "</w:t>
      </w:r>
      <w:r>
        <w:rPr>
          <w:rFonts w:ascii="Miriam" w:hAnsi="Miriam" w:cs="Miriam"/>
          <w:sz w:val="24"/>
          <w:szCs w:val="24"/>
          <w:rtl/>
        </w:rPr>
        <w:t xml:space="preserve">נותן מענה לדרישה לאמות מידה </w:t>
      </w:r>
      <w:r>
        <w:rPr>
          <w:rFonts w:ascii="Miriam" w:hAnsi="Miriam" w:cs="Miriam"/>
          <w:b/>
          <w:bCs/>
          <w:sz w:val="24"/>
          <w:szCs w:val="24"/>
          <w:rtl/>
        </w:rPr>
        <w:t>פרטניות</w:t>
      </w:r>
      <w:r>
        <w:rPr>
          <w:rFonts w:ascii="Miriam" w:hAnsi="Miriam" w:cs="Miriam"/>
          <w:sz w:val="24"/>
          <w:szCs w:val="24"/>
          <w:rtl/>
        </w:rPr>
        <w:t xml:space="preserve"> שמכוחה עותר המבקש למתן רשות ערעור</w:t>
      </w:r>
      <w:r>
        <w:rPr>
          <w:rFonts w:ascii="David" w:hAnsi="David" w:cs="David"/>
          <w:sz w:val="24"/>
          <w:szCs w:val="24"/>
          <w:rtl/>
        </w:rPr>
        <w:t>" (ההדגשה שלי – מ' ק').</w:t>
      </w:r>
    </w:p>
    <w:p w:rsidR="002D6887" w:rsidRDefault="002D6887" w:rsidP="002D6887">
      <w:pPr>
        <w:pStyle w:val="ae"/>
        <w:spacing w:after="0" w:line="360" w:lineRule="auto"/>
        <w:ind w:left="0" w:firstLine="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בשנת 2015 תוקנה הפקודה פעם נוספת, באופן שהוצג לעיל והוא הנוסח העומד כעת ביסוד העתירה שלפנַי. </w:t>
      </w:r>
    </w:p>
    <w:p w:rsidR="002D6887" w:rsidRDefault="002D6887" w:rsidP="002D6887">
      <w:pPr>
        <w:pStyle w:val="ad"/>
        <w:rPr>
          <w:highlight w:val="yellow"/>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עינינו הרואות: </w:t>
      </w:r>
      <w:r>
        <w:rPr>
          <w:rFonts w:ascii="David" w:hAnsi="David" w:cs="David"/>
          <w:sz w:val="24"/>
          <w:szCs w:val="24"/>
          <w:u w:val="single"/>
          <w:rtl/>
        </w:rPr>
        <w:t>לפי הפקודה עובר לשינוי</w:t>
      </w:r>
      <w:r>
        <w:rPr>
          <w:rFonts w:ascii="David" w:hAnsi="David" w:cs="David"/>
          <w:sz w:val="24"/>
          <w:szCs w:val="24"/>
          <w:rtl/>
        </w:rPr>
        <w:t xml:space="preserve">, </w:t>
      </w:r>
      <w:r>
        <w:rPr>
          <w:rFonts w:ascii="David" w:hAnsi="David" w:cs="David"/>
          <w:b/>
          <w:bCs/>
          <w:sz w:val="24"/>
          <w:szCs w:val="24"/>
          <w:rtl/>
        </w:rPr>
        <w:t>ניתנה אפשרות לנציב לאשר בקשת אסיר פלילי תושב הרשות הפלסטינית להשתלב בסבב חופשות,</w:t>
      </w:r>
      <w:r>
        <w:rPr>
          <w:rFonts w:ascii="David" w:hAnsi="David" w:cs="David"/>
          <w:sz w:val="24"/>
          <w:szCs w:val="24"/>
          <w:rtl/>
        </w:rPr>
        <w:t xml:space="preserve"> אם הוכיח האסיר כי חזקת המסוכנות אינה מתקיימת בעניינו ולאחר שהנציב עיין בחוות דעת שהוגשו לו ובתנאי חופשה מסוימים. </w:t>
      </w:r>
      <w:r>
        <w:rPr>
          <w:rFonts w:ascii="David" w:hAnsi="David" w:cs="David"/>
          <w:sz w:val="24"/>
          <w:szCs w:val="24"/>
          <w:u w:val="single"/>
          <w:rtl/>
        </w:rPr>
        <w:t>לעומת זה, לפי הפקודה בנוסחה היום</w:t>
      </w:r>
      <w:r>
        <w:rPr>
          <w:rFonts w:ascii="David" w:hAnsi="David" w:cs="David"/>
          <w:b/>
          <w:bCs/>
          <w:sz w:val="24"/>
          <w:szCs w:val="24"/>
          <w:rtl/>
        </w:rPr>
        <w:t>, לא תאושר חופשה "רגילה" לאסיר תושב הרשות הפלסטינית בשום תנאי, ואף אין כל נוהל לטיפול בבקשות לחופשת אסירים תושבי הרשות הפלסטינית שאינן חופשות מטעמים מיוחדים.</w:t>
      </w:r>
      <w:r>
        <w:rPr>
          <w:rFonts w:ascii="David" w:hAnsi="David" w:cs="David"/>
          <w:sz w:val="24"/>
          <w:szCs w:val="24"/>
          <w:rtl/>
        </w:rPr>
        <w:t xml:space="preserve">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 xml:space="preserve">מסקנה זו מתחייבת מלשון הפקודה, והיא עולה בקנה אחד עם פסיקתו המחייבת של בית המשפט העליון כאשר נדרש להוראות הפקודה בעניין קרוב – שלילת הסמכות לאשר לאסירים </w:t>
      </w:r>
      <w:r>
        <w:rPr>
          <w:rFonts w:ascii="David" w:hAnsi="David" w:cs="David"/>
          <w:b/>
          <w:bCs/>
          <w:sz w:val="24"/>
          <w:szCs w:val="24"/>
          <w:rtl/>
        </w:rPr>
        <w:t>ביטחוניים</w:t>
      </w:r>
      <w:r>
        <w:rPr>
          <w:rFonts w:ascii="David" w:hAnsi="David" w:cs="David"/>
          <w:sz w:val="24"/>
          <w:szCs w:val="24"/>
          <w:rtl/>
        </w:rPr>
        <w:t xml:space="preserve"> לצאת לחופשות "רגילות" [רע"ב 4779/17 </w:t>
      </w:r>
      <w:r>
        <w:rPr>
          <w:rFonts w:ascii="David" w:hAnsi="David" w:cs="David"/>
          <w:b/>
          <w:bCs/>
          <w:sz w:val="24"/>
          <w:szCs w:val="24"/>
          <w:rtl/>
        </w:rPr>
        <w:t>יוסף אבו-</w:t>
      </w:r>
      <w:proofErr w:type="spellStart"/>
      <w:r>
        <w:rPr>
          <w:rFonts w:ascii="David" w:hAnsi="David" w:cs="David"/>
          <w:b/>
          <w:bCs/>
          <w:sz w:val="24"/>
          <w:szCs w:val="24"/>
          <w:rtl/>
        </w:rPr>
        <w:t>צעלוק</w:t>
      </w:r>
      <w:proofErr w:type="spellEnd"/>
      <w:r>
        <w:rPr>
          <w:rFonts w:ascii="David" w:hAnsi="David" w:cs="David"/>
          <w:b/>
          <w:bCs/>
          <w:sz w:val="24"/>
          <w:szCs w:val="24"/>
          <w:rtl/>
        </w:rPr>
        <w:t xml:space="preserve"> נ' שירות בתי הסוהר</w:t>
      </w:r>
      <w:r>
        <w:rPr>
          <w:rFonts w:ascii="David" w:hAnsi="David" w:cs="David"/>
          <w:sz w:val="24"/>
          <w:szCs w:val="24"/>
          <w:rtl/>
        </w:rPr>
        <w:t xml:space="preserve"> (22.3.2020) (להלן: </w:t>
      </w:r>
      <w:r>
        <w:rPr>
          <w:rFonts w:ascii="Miriam" w:hAnsi="Miriam" w:cs="Miriam"/>
          <w:b/>
          <w:bCs/>
          <w:sz w:val="24"/>
          <w:szCs w:val="24"/>
          <w:rtl/>
        </w:rPr>
        <w:t>עניין אבו-</w:t>
      </w:r>
      <w:proofErr w:type="spellStart"/>
      <w:r>
        <w:rPr>
          <w:rFonts w:ascii="Miriam" w:hAnsi="Miriam" w:cs="Miriam"/>
          <w:b/>
          <w:bCs/>
          <w:sz w:val="24"/>
          <w:szCs w:val="24"/>
          <w:rtl/>
        </w:rPr>
        <w:t>צאלוק</w:t>
      </w:r>
      <w:proofErr w:type="spellEnd"/>
      <w:r>
        <w:rPr>
          <w:rFonts w:ascii="Miriam" w:hAnsi="Miriam" w:cs="Miriam"/>
          <w:b/>
          <w:bCs/>
          <w:sz w:val="24"/>
          <w:szCs w:val="24"/>
          <w:rtl/>
        </w:rPr>
        <w:t>)</w:t>
      </w:r>
      <w:r>
        <w:rPr>
          <w:rFonts w:ascii="David" w:hAnsi="David" w:cs="David"/>
          <w:sz w:val="24"/>
          <w:szCs w:val="24"/>
          <w:rtl/>
        </w:rPr>
        <w:t>, פסקה 37 לפסק דינו של כב' השופט (כתוארו אז) ח' מלצר].</w:t>
      </w:r>
    </w:p>
    <w:p w:rsidR="002D6887" w:rsidRDefault="002D6887" w:rsidP="002D6887">
      <w:pPr>
        <w:pStyle w:val="ad"/>
        <w:rPr>
          <w:rtl/>
        </w:rPr>
      </w:pPr>
    </w:p>
    <w:p w:rsidR="00E14BDF" w:rsidRDefault="00E14BDF" w:rsidP="002D6887">
      <w:pPr>
        <w:pStyle w:val="ad"/>
        <w:rPr>
          <w:rtl/>
        </w:rPr>
      </w:pPr>
    </w:p>
    <w:p w:rsidR="002D6887" w:rsidRDefault="002D6887" w:rsidP="002D6887">
      <w:pPr>
        <w:pStyle w:val="ae"/>
        <w:spacing w:after="0" w:line="360" w:lineRule="auto"/>
        <w:ind w:left="84"/>
        <w:jc w:val="both"/>
        <w:rPr>
          <w:rFonts w:ascii="David" w:hAnsi="David" w:cs="David"/>
          <w:sz w:val="24"/>
          <w:szCs w:val="24"/>
          <w:rtl/>
        </w:rPr>
      </w:pPr>
      <w:r>
        <w:rPr>
          <w:rFonts w:ascii="David" w:hAnsi="David" w:cs="David"/>
          <w:b/>
          <w:bCs/>
          <w:sz w:val="24"/>
          <w:szCs w:val="24"/>
          <w:u w:val="single"/>
          <w:rtl/>
        </w:rPr>
        <w:t xml:space="preserve">טענות הצדדים לעתירה </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u w:val="single"/>
          <w:rtl/>
        </w:rPr>
        <w:t>לטענת העותר</w:t>
      </w:r>
      <w:r>
        <w:rPr>
          <w:rFonts w:ascii="David" w:hAnsi="David" w:cs="David"/>
          <w:sz w:val="24"/>
          <w:szCs w:val="24"/>
          <w:rtl/>
        </w:rPr>
        <w:t xml:space="preserve">, בעקבות תיקון הפקודה בשנת 2015, ופרשנות המשיב את הוראותיה, חלה החמרה בכל הקשור ליציאתם של אסירים תושבי הרשות הפלסטינית לחופשה "רגילה", אשר יצרה הפליה אסורה בינם לבין יתר האסירים, לרבות אלה המשתייכים לאוכלוסיות מיוחדות אחרות, הלוקה אף בשרירותיות משום שעניינם של אסירים תושבי הרשות הפלסטינית אינו נבחן באופן פרטני. </w:t>
      </w:r>
    </w:p>
    <w:p w:rsidR="002D6887" w:rsidRDefault="002D6887" w:rsidP="002D6887">
      <w:pPr>
        <w:pStyle w:val="ae"/>
        <w:spacing w:after="0" w:line="360" w:lineRule="auto"/>
        <w:ind w:left="84"/>
        <w:jc w:val="both"/>
        <w:rPr>
          <w:rFonts w:ascii="David" w:hAnsi="David" w:cs="David"/>
          <w:sz w:val="24"/>
          <w:szCs w:val="24"/>
          <w:u w:val="single"/>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העותר מדגיש כי בניגוד לאסירים השייכים ליתר האוכלוסיות המיוחדות, שככלל יכולים לשנות את מצבם באופן שיאפשר להם לצאת לחופשות, אין לאסיר תושב הרשות הפלסטינית יכולת לשנות את מקום לידתו. נתון זה גוזר את גורלו של העותר בבואו להשתלב בחופשות וההתחשבות בו כנתון בלעדי מהווה הפליה אסורה.</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לדעת העותר, פרשנות שב"ס את הוראות הפקודה כך שהן שוללות את סמכות שב"ס לבחון את עניינו של העותר לחופשה "רגילה", אינה סבירה, אינה מידתית, מהווה אפליה פסולה ומונעת </w:t>
      </w:r>
      <w:r>
        <w:rPr>
          <w:rFonts w:ascii="David" w:hAnsi="David" w:cs="David"/>
          <w:sz w:val="24"/>
          <w:szCs w:val="24"/>
          <w:rtl/>
        </w:rPr>
        <w:lastRenderedPageBreak/>
        <w:t xml:space="preserve">בחינה של כלל השיקולים על מנת לאתר אמצעי שפגיעתו פחותה. התנהלות בה רשות </w:t>
      </w:r>
      <w:proofErr w:type="spellStart"/>
      <w:r>
        <w:rPr>
          <w:rFonts w:ascii="David" w:hAnsi="David" w:cs="David"/>
          <w:sz w:val="24"/>
          <w:szCs w:val="24"/>
          <w:rtl/>
        </w:rPr>
        <w:t>מינהלית</w:t>
      </w:r>
      <w:proofErr w:type="spellEnd"/>
      <w:r>
        <w:rPr>
          <w:rFonts w:ascii="David" w:hAnsi="David" w:cs="David"/>
          <w:sz w:val="24"/>
          <w:szCs w:val="24"/>
          <w:rtl/>
        </w:rPr>
        <w:t xml:space="preserve"> אינה מפעילה שיקול דעת ואינה בוחנת מקרים חריגים מנוגדת לעקרונות המשפט </w:t>
      </w:r>
      <w:proofErr w:type="spellStart"/>
      <w:r>
        <w:rPr>
          <w:rFonts w:ascii="David" w:hAnsi="David" w:cs="David"/>
          <w:sz w:val="24"/>
          <w:szCs w:val="24"/>
          <w:rtl/>
        </w:rPr>
        <w:t>המינהלי</w:t>
      </w:r>
      <w:proofErr w:type="spellEnd"/>
      <w:r>
        <w:rPr>
          <w:rFonts w:ascii="David" w:hAnsi="David" w:cs="David"/>
          <w:sz w:val="24"/>
          <w:szCs w:val="24"/>
          <w:rtl/>
        </w:rPr>
        <w:t xml:space="preserve"> וההלכה הפסוקה. </w:t>
      </w:r>
    </w:p>
    <w:p w:rsidR="002D6887" w:rsidRDefault="002D6887" w:rsidP="002D6887">
      <w:pPr>
        <w:pStyle w:val="ae"/>
        <w:spacing w:after="0" w:line="360" w:lineRule="auto"/>
        <w:ind w:left="84"/>
        <w:jc w:val="both"/>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העותר מבקש אפוא לתת להוראות הפקודה "פרשנות מקיימת", שתאפשר לשלבו בסבב חופשות, ולחלופין לבטל את הוראות הפקודה השוללות מאסירים תושבי הרשות הפלסטינית את האפשרות להשתלב בסבב חופשות.</w:t>
      </w:r>
    </w:p>
    <w:p w:rsidR="002D6887" w:rsidRDefault="002D6887" w:rsidP="002D6887">
      <w:pPr>
        <w:pStyle w:val="ad"/>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העותר הפנה לתכליות החשובות של חופשות האסירים, כמפורט בפקודה עצמה, ולהשלכות השליליות הרבות לאי שילובו של אסיר בסבב חופשות, ובעיקר אפשרותו לזכות בשחרור מוקדם התלוי כדרך הטבע בבחינת התנהגות האסיר במסגרת חופשות. גם אם חופשה היא טובת הנאה בלבד, אין להבחין באופן פסול לעניין זה בין סוגי אסירים. על המשיבים לבחון פרטנית את בקשת העותר לצאת לחופשה.</w:t>
      </w:r>
    </w:p>
    <w:p w:rsidR="002D6887" w:rsidRDefault="002D6887" w:rsidP="002D6887">
      <w:pPr>
        <w:pStyle w:val="ad"/>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עוד צוין כי העותר הוא אסיר פלילי למופת. זה מכבר נטל העותר אחריות מלאה על מעשיו והוא מצטער ומתחרט עליהם. אין לו קשר עם בני משפחתו ברשות הפלסטינית וכל שנותר לו היא משפחתו במזרח ירושלים. במסגרת מאסרו השתלב העותר בחינוך, בעבודה ובמסגרות טיפול. במשך כל התקופה הארוכה בה שהה במאסר לא נרשמו לחובתו אירועים המעידים על מסוכנותו.  חרף זאת בקשתו כלל לא נבדקה ובכך נמנעה ממנו האפשרות לקבל פריבילגיה הניתנת לאוכלוסיות אחרות, ואף לתושבי מדינות זרות. העותר הגיש בקשה לשחרור מוקדם. ועדת השחרורים החליטה לדחות ההכרעה בבקשתו עד לאחר שניתן יהיה לבחון את התנהלותו מחוץ לכלא, אם וככל שיצא לחופשות (וש"מ 26614-10-20 מיום 28.2.2023).</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u w:val="single"/>
          <w:rtl/>
        </w:rPr>
        <w:t>המשיבים</w:t>
      </w:r>
      <w:r>
        <w:rPr>
          <w:rFonts w:ascii="David" w:hAnsi="David" w:cs="David"/>
          <w:sz w:val="24"/>
          <w:szCs w:val="24"/>
          <w:rtl/>
        </w:rPr>
        <w:t xml:space="preserve"> סבורים כי אין מקום לדון במסגרת עתירת אסיר זו ב"</w:t>
      </w:r>
      <w:r>
        <w:rPr>
          <w:rFonts w:ascii="Miriam" w:hAnsi="Miriam" w:cs="Miriam"/>
          <w:sz w:val="24"/>
          <w:szCs w:val="24"/>
          <w:rtl/>
        </w:rPr>
        <w:t>שאלות עקרוניות תיאורטיות שאינן רלבנטיות למקרה הפרטני</w:t>
      </w:r>
      <w:r>
        <w:rPr>
          <w:rFonts w:ascii="David" w:hAnsi="David" w:cs="David"/>
          <w:sz w:val="24"/>
          <w:szCs w:val="24"/>
          <w:rtl/>
        </w:rPr>
        <w:t>". זאת כיוון שלדעתם העתירה אינה נוגעת להחלטה פרטנית הקשורה בתנאי מאסרו של העותר.</w:t>
      </w:r>
    </w:p>
    <w:p w:rsidR="002D6887" w:rsidRDefault="002D6887" w:rsidP="002D6887">
      <w:pPr>
        <w:pStyle w:val="ad"/>
        <w:rPr>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 xml:space="preserve">לשיטת המשיבים העתירה  אף הוגשה בשיהוי, שכן הפקודה תוקנה עוד בשנת 2015 על רקע ההחמרה המתמשכת במצב הביטחוני בישראל. </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עוד טוענים המשיבים כי בפועל התיקון לא הביא לשינוי מהותי במתן חופשות לאסירים תושבי הרשות הפלסטינית, שכן גם קודם לתיקון לא ניתנו חופשות לאלה בשל מסוכנותם האינהרנטית, והתיקון לפקודה נועד רק להסיר אי-בהירות מסוימת, ולא היה בו שינוי מהותי יחסית למצב הקודם.</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המשיבים סבורים כי ישנה שוֹנוּת רלוונטית בין אסירים תושבי הרשות הפלסטינית לבין אסירים אחרים, המשפיעה על האפשרות להעניק להם חופשות. נאמנותם של אסירים אלה אינה </w:t>
      </w:r>
      <w:r>
        <w:rPr>
          <w:rFonts w:ascii="David" w:hAnsi="David" w:cs="David"/>
          <w:sz w:val="24"/>
          <w:szCs w:val="24"/>
          <w:rtl/>
        </w:rPr>
        <w:lastRenderedPageBreak/>
        <w:t xml:space="preserve">נתונה למדינת ישראל, בפרט לאור המצב הביטחוני המתוח. בהוצאתם של אסירים בני אוכלוסייה זו לחופשה טמון פוטנציאל לטרור, כעולה בין היתר מחוות דעת מסווגת שהגיש המשיב 3, שירות הביטחון הכללי. </w:t>
      </w:r>
    </w:p>
    <w:p w:rsidR="002D6887" w:rsidRDefault="002D6887" w:rsidP="002D6887">
      <w:pPr>
        <w:pStyle w:val="ae"/>
        <w:rPr>
          <w:rFonts w:ascii="David" w:hAnsi="David" w:cs="David"/>
          <w:sz w:val="24"/>
          <w:szCs w:val="24"/>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לדעת המשיבים אין זה נכון כי אסיר תושב הרשות הפלסטינית אינו יכול לשנות את הגדרתו, שכן באפשרותו לפנות לקבלת מעמד חוקי בישראל, מכוח נישואין או מכל טעם אחר.</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במישור הפרטני טענו המשיבים כי העותר לא הפריך את חזקת המסוכנות הקבועה בעניינו, בין היתר משום שהוא זוכה לתמיכה כספית מהרשות הפלסטינית ומן העובדה שזוכה לביקורי משפחות באמצעות הצלב האדום ניתן ללמוד שלא ניתק קשר עמם. עוד צוין כי העותר הוא אסיר עולם, שפוטנציאל בריחתו גבוה משל אסירים אחרים, ובשעתו אף שהה בישראל שלא כחוק.</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המשיבים מציינים כי שילובו של העותר בהליכי טיפול נעשה לפנים משורת הדין. העובדה כי עבר הליכים כאלה אין משמעה שהעותר הפריך את חזקת המסוכנות החלה בעניינו, שכן זו אינה קשורה בעבירה אותה ביצע אלא נובעת מעצם היותו תושב הרשות הפלסטינית.</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המשיבים טוענים לבסוף כי הלכה פסוקה היא שבית המשפט אינו מתערב בשיקול דעת הגורם המוסמך, אף אם סבר כי ראוי היה לערוך איזון אחר. מעבר לכך, לאור הערות בית המשפט, הובא הנושא לבחינת השר לביטחון לאומי וכן הוצגה לפניו חוות דעת מטעם שירות הביטחון הכללי ועמדת השר אף היא כי אין מקום לביצוע שינוי בנוהל השר ובפקודה.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במסגרת הדיון בעתירה עיינתי במעמד צד אחד, בהסכמת העותר, בחוות דעת שב"כ (סומנה על ידי </w:t>
      </w:r>
      <w:proofErr w:type="spellStart"/>
      <w:r>
        <w:rPr>
          <w:rFonts w:ascii="David" w:hAnsi="David" w:cs="David"/>
          <w:b/>
          <w:bCs/>
          <w:sz w:val="24"/>
          <w:szCs w:val="24"/>
          <w:rtl/>
        </w:rPr>
        <w:t>במ</w:t>
      </w:r>
      <w:proofErr w:type="spellEnd"/>
      <w:r>
        <w:rPr>
          <w:rFonts w:ascii="David" w:hAnsi="David" w:cs="David"/>
          <w:b/>
          <w:bCs/>
          <w:sz w:val="24"/>
          <w:szCs w:val="24"/>
          <w:rtl/>
        </w:rPr>
        <w:t>/1</w:t>
      </w:r>
      <w:r>
        <w:rPr>
          <w:rFonts w:ascii="David" w:hAnsi="David" w:cs="David"/>
          <w:sz w:val="24"/>
          <w:szCs w:val="24"/>
          <w:rtl/>
        </w:rPr>
        <w:t xml:space="preserve"> ונשמרה בכספת בית המשפט). חוות הדעת מקיפה את עמדת השירות באופן כללי בנוגע לאפשרות הוצאת אסיר תושב הרשות הפלסטינית לחופשות, ואת עמדתו הפרטנית בנוגע לעותר כאן.</w:t>
      </w:r>
    </w:p>
    <w:p w:rsidR="00E14BDF" w:rsidRDefault="00E14BDF">
      <w:pPr>
        <w:bidi w:val="0"/>
        <w:rPr>
          <w:rFonts w:asciiTheme="minorHAnsi" w:eastAsiaTheme="minorHAnsi" w:hAnsiTheme="minorHAnsi" w:cstheme="minorBidi"/>
          <w:noProof w:val="0"/>
          <w:sz w:val="22"/>
          <w:szCs w:val="22"/>
          <w:rtl/>
        </w:rPr>
      </w:pPr>
      <w:r>
        <w:rPr>
          <w:rtl/>
        </w:rPr>
        <w:br w:type="page"/>
      </w:r>
    </w:p>
    <w:p w:rsidR="002D6887" w:rsidRDefault="002D6887" w:rsidP="002D6887">
      <w:pPr>
        <w:spacing w:line="360" w:lineRule="auto"/>
        <w:ind w:firstLine="84"/>
        <w:jc w:val="both"/>
        <w:rPr>
          <w:rFonts w:ascii="David" w:hAnsi="David"/>
          <w:b/>
          <w:bCs/>
          <w:sz w:val="26"/>
          <w:szCs w:val="26"/>
          <w:u w:val="single"/>
        </w:rPr>
      </w:pPr>
      <w:r>
        <w:rPr>
          <w:rFonts w:ascii="David" w:hAnsi="David"/>
          <w:b/>
          <w:bCs/>
          <w:sz w:val="26"/>
          <w:szCs w:val="26"/>
          <w:u w:val="single"/>
          <w:rtl/>
        </w:rPr>
        <w:lastRenderedPageBreak/>
        <w:t>דיון והכרעה</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העתירה מעוררת מספר שאלות עקרוניות, אולם טרם שאלה ייבחנו יש להכריע בטענות המקדמיות שהעלו המשיבים.</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d"/>
        <w:ind w:firstLine="84"/>
        <w:rPr>
          <w:b/>
          <w:bCs/>
        </w:rPr>
      </w:pPr>
      <w:r>
        <w:rPr>
          <w:rFonts w:ascii="David" w:hAnsi="David" w:cs="David"/>
          <w:b/>
          <w:bCs/>
          <w:sz w:val="24"/>
          <w:szCs w:val="24"/>
          <w:u w:val="single"/>
          <w:rtl/>
        </w:rPr>
        <w:t>דיון בטענות המקדמיות</w:t>
      </w:r>
    </w:p>
    <w:p w:rsidR="002D6887" w:rsidRDefault="002D6887" w:rsidP="002D6887">
      <w:pPr>
        <w:pStyle w:val="ad"/>
        <w:ind w:firstLine="84"/>
        <w:rPr>
          <w:b/>
          <w:bCs/>
        </w:rPr>
      </w:pPr>
    </w:p>
    <w:p w:rsidR="002D6887" w:rsidRDefault="002D6887" w:rsidP="002D6887">
      <w:pPr>
        <w:pStyle w:val="ae"/>
        <w:spacing w:after="0" w:line="360" w:lineRule="auto"/>
        <w:ind w:left="-52" w:firstLine="136"/>
        <w:jc w:val="both"/>
        <w:rPr>
          <w:rFonts w:ascii="David" w:hAnsi="David" w:cs="David"/>
          <w:sz w:val="24"/>
          <w:szCs w:val="24"/>
          <w:u w:val="single"/>
          <w:rtl/>
        </w:rPr>
      </w:pPr>
      <w:r>
        <w:rPr>
          <w:rFonts w:ascii="David" w:hAnsi="David" w:cs="David"/>
          <w:sz w:val="24"/>
          <w:szCs w:val="24"/>
          <w:u w:val="single"/>
          <w:rtl/>
        </w:rPr>
        <w:t>א.</w:t>
      </w:r>
      <w:r>
        <w:rPr>
          <w:rFonts w:ascii="David" w:hAnsi="David" w:cs="David"/>
          <w:sz w:val="24"/>
          <w:szCs w:val="24"/>
          <w:u w:val="single"/>
          <w:rtl/>
        </w:rPr>
        <w:tab/>
        <w:t>אין כל מניעה לדון בשאלות עקרוניות במסגרת עתירת אסיר</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לפי הוראות סעיף 62א(א) לפקודת בתי הסוהר רשאי אסיר להגיש לבית המשפט המחוזי </w:t>
      </w:r>
      <w:r>
        <w:rPr>
          <w:rFonts w:ascii="Miriam" w:hAnsi="Miriam" w:cs="Miriam"/>
          <w:sz w:val="24"/>
          <w:szCs w:val="24"/>
          <w:rtl/>
        </w:rPr>
        <w:t>"עתירה נגד רשויות המדינה ואנשים הממלאים תפקידים על-פי דין בכל ענין הנוגע למאסרו או למעצרו...".</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אין ולא יכול להיות חולק כי עתירות נגד החלטות שב"ס לסרב להוציא אסיר לחופשה הן בעניין הנוגע למאסר. העתירה שלפנַי מכוונת נגד החלטה פרטנית כזו שנתקבלה בעניינו של העותר. </w:t>
      </w:r>
    </w:p>
    <w:p w:rsidR="002D6887" w:rsidRDefault="002D6887" w:rsidP="002D6887">
      <w:pPr>
        <w:pStyle w:val="ae"/>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טענת המשיבים היא כי אין זה ראוי לדון בעתירה במתווה שבסעיף 62א(א) לפקודת בתי הסוהר, משום ההיבטים העקרוניים והכלליים שבה. טענה זו אין כל אפשרות לקבל. </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ההלכה הפסוקה קובעת בבירור ובעקביות כי: </w:t>
      </w:r>
      <w:r>
        <w:rPr>
          <w:rFonts w:ascii="Miriam" w:hAnsi="Miriam" w:cs="Miriam"/>
          <w:sz w:val="24"/>
          <w:szCs w:val="24"/>
          <w:rtl/>
        </w:rPr>
        <w:t xml:space="preserve">""דרך המלך" לתקיפת הוראות או החלטות </w:t>
      </w:r>
      <w:proofErr w:type="spellStart"/>
      <w:r>
        <w:rPr>
          <w:rFonts w:ascii="Miriam" w:hAnsi="Miriam" w:cs="Miriam"/>
          <w:sz w:val="24"/>
          <w:szCs w:val="24"/>
          <w:rtl/>
        </w:rPr>
        <w:t>מינהליות</w:t>
      </w:r>
      <w:proofErr w:type="spellEnd"/>
      <w:r>
        <w:rPr>
          <w:rFonts w:ascii="Miriam" w:hAnsi="Miriam" w:cs="Miriam"/>
          <w:sz w:val="24"/>
          <w:szCs w:val="24"/>
          <w:rtl/>
        </w:rPr>
        <w:t xml:space="preserve"> בעניינו של אסיר היא הגשת עתירת אסיר לפי סעיף 62א לפקודת בתי הסוהר, התשל"ב-1971. זאת אף במקרים שבהם העתירה כוללת טענות בדבר פגיעה בזכויות חוקתיות או כשמדובר בעתירה "רוחבית" שתוקפת </w:t>
      </w:r>
      <w:proofErr w:type="spellStart"/>
      <w:r>
        <w:rPr>
          <w:rFonts w:ascii="Miriam" w:hAnsi="Miriam" w:cs="Miriam"/>
          <w:sz w:val="24"/>
          <w:szCs w:val="24"/>
          <w:rtl/>
        </w:rPr>
        <w:t>פרקטיקות</w:t>
      </w:r>
      <w:proofErr w:type="spellEnd"/>
      <w:r>
        <w:rPr>
          <w:rFonts w:ascii="Miriam" w:hAnsi="Miriam" w:cs="Miriam"/>
          <w:sz w:val="24"/>
          <w:szCs w:val="24"/>
          <w:rtl/>
        </w:rPr>
        <w:t xml:space="preserve"> כלליות של שב"ס</w:t>
      </w:r>
      <w:r>
        <w:rPr>
          <w:rFonts w:ascii="FrankRuehl" w:hAnsi="FrankRuehl" w:cs="FrankRuehl"/>
          <w:sz w:val="28"/>
          <w:szCs w:val="28"/>
          <w:rtl/>
        </w:rPr>
        <w:t xml:space="preserve">" (ראו: בג"ץ 1443/21 </w:t>
      </w:r>
      <w:r>
        <w:rPr>
          <w:rFonts w:ascii="FrankRuehl" w:hAnsi="FrankRuehl" w:cs="FrankRuehl"/>
          <w:bCs/>
          <w:sz w:val="28"/>
          <w:szCs w:val="28"/>
          <w:rtl/>
        </w:rPr>
        <w:t>המרכז האקדמי למשפט ולעסקים רמת גן נ' נציב שירות בתי הסוהר</w:t>
      </w:r>
      <w:r>
        <w:rPr>
          <w:rFonts w:ascii="FrankRuehl" w:hAnsi="FrankRuehl" w:cs="FrankRuehl"/>
          <w:sz w:val="28"/>
          <w:szCs w:val="28"/>
          <w:rtl/>
        </w:rPr>
        <w:t>, פסקה 9 (30.6.2021))"</w:t>
      </w:r>
      <w:r>
        <w:rPr>
          <w:rFonts w:ascii="Narkisim" w:hAnsi="Narkisim" w:cs="Narkisim"/>
          <w:sz w:val="24"/>
          <w:szCs w:val="24"/>
          <w:rtl/>
        </w:rPr>
        <w:t xml:space="preserve"> </w:t>
      </w:r>
      <w:r>
        <w:rPr>
          <w:rFonts w:ascii="David" w:hAnsi="David" w:cs="David"/>
          <w:sz w:val="24"/>
          <w:szCs w:val="24"/>
          <w:rtl/>
        </w:rPr>
        <w:t xml:space="preserve">[בג"ץ 135/23 </w:t>
      </w:r>
      <w:r>
        <w:rPr>
          <w:rFonts w:ascii="David" w:hAnsi="David" w:cs="David"/>
          <w:b/>
          <w:bCs/>
          <w:sz w:val="24"/>
          <w:szCs w:val="24"/>
          <w:rtl/>
        </w:rPr>
        <w:t xml:space="preserve">יהונתן </w:t>
      </w:r>
      <w:proofErr w:type="spellStart"/>
      <w:r>
        <w:rPr>
          <w:rFonts w:ascii="David" w:hAnsi="David" w:cs="David"/>
          <w:b/>
          <w:bCs/>
          <w:sz w:val="24"/>
          <w:szCs w:val="24"/>
          <w:rtl/>
        </w:rPr>
        <w:t>רבינוביץ</w:t>
      </w:r>
      <w:proofErr w:type="spellEnd"/>
      <w:r>
        <w:rPr>
          <w:rFonts w:ascii="David" w:hAnsi="David" w:cs="David"/>
          <w:b/>
          <w:bCs/>
          <w:sz w:val="24"/>
          <w:szCs w:val="24"/>
          <w:rtl/>
        </w:rPr>
        <w:t xml:space="preserve"> נ' שירות בתי הסוהר</w:t>
      </w:r>
      <w:r>
        <w:rPr>
          <w:rFonts w:ascii="David" w:hAnsi="David" w:cs="David"/>
          <w:sz w:val="24"/>
          <w:szCs w:val="24"/>
          <w:rtl/>
        </w:rPr>
        <w:t xml:space="preserve"> (15.3.202)</w:t>
      </w:r>
      <w:r>
        <w:rPr>
          <w:rFonts w:ascii="David" w:hAnsi="David" w:cs="David"/>
          <w:spacing w:val="10"/>
          <w:sz w:val="24"/>
          <w:szCs w:val="24"/>
          <w:rtl/>
        </w:rPr>
        <w:t>].</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זאת ועוד. בהעלותם טענת סף זו התעלמו המשיבים מן העובדה כי הוראות הפקודה הנוגעות למגבלות על חופשות לאסירים תושבי הרשות הפלסטינית, בנוסחיה הקודמים, נתקפו בעתירות אסירים ולא בדרך של פניה ישירה לבג"ץ, ומכך שהמדינה טוענת טענת סף הפוכה כמעט כל אימת שמוגשת עתירה לבג"ץ הכוללת היבטים עקרוניים שהיו יכולים להידון במסגרת של עתירת אסיר [השוו: </w:t>
      </w:r>
      <w:r>
        <w:rPr>
          <w:rFonts w:ascii="David" w:hAnsi="David" w:cs="David"/>
          <w:spacing w:val="10"/>
          <w:sz w:val="24"/>
          <w:szCs w:val="24"/>
          <w:rtl/>
        </w:rPr>
        <w:t xml:space="preserve">בג"ץ 4531/09 </w:t>
      </w:r>
      <w:r>
        <w:rPr>
          <w:rFonts w:ascii="David" w:hAnsi="David" w:cs="David"/>
          <w:bCs/>
          <w:sz w:val="24"/>
          <w:szCs w:val="24"/>
          <w:rtl/>
        </w:rPr>
        <w:t>ברגותי נ' שירות בתי הסוהר</w:t>
      </w:r>
      <w:r>
        <w:rPr>
          <w:rFonts w:ascii="David" w:hAnsi="David" w:cs="David"/>
          <w:spacing w:val="10"/>
          <w:sz w:val="24"/>
          <w:szCs w:val="24"/>
          <w:rtl/>
        </w:rPr>
        <w:t xml:space="preserve"> (16.6.2010)</w:t>
      </w:r>
      <w:r>
        <w:rPr>
          <w:rFonts w:ascii="David" w:hAnsi="David" w:cs="David"/>
          <w:sz w:val="24"/>
          <w:szCs w:val="24"/>
          <w:rtl/>
        </w:rPr>
        <w:t>].</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מובן, ואין צריך לומר, כי עתירת אסיר אינה יכולה להיות מנותקת מעניינו הפרטני של אסיר או עציר, אלא שריבו של העותר כאן הוא ללא ספק ריבו הפרטי. בעניינו שלו נתקבלה ההחלטה, הנשענת על הוראות הפקודה, כי לא יוכל לצאת לחופשה "רגילה".</w:t>
      </w: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 </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אין אפוא כל מניעה לדון בשאלות העקרוניות שהתעוררו במסגרת עתירת אסיר זו, ולמעשה הדבר מתחייב.</w:t>
      </w:r>
    </w:p>
    <w:p w:rsidR="002D6887" w:rsidRDefault="002D6887" w:rsidP="002D6887">
      <w:pPr>
        <w:pStyle w:val="ae"/>
        <w:spacing w:after="0" w:line="360" w:lineRule="auto"/>
        <w:ind w:left="90"/>
        <w:jc w:val="both"/>
        <w:rPr>
          <w:rFonts w:ascii="David" w:hAnsi="David" w:cs="David"/>
          <w:sz w:val="24"/>
          <w:szCs w:val="24"/>
          <w:u w:val="single"/>
        </w:rPr>
      </w:pPr>
    </w:p>
    <w:p w:rsidR="002D6887" w:rsidRDefault="002D6887" w:rsidP="002D6887">
      <w:pPr>
        <w:pStyle w:val="ae"/>
        <w:spacing w:after="0" w:line="360" w:lineRule="auto"/>
        <w:ind w:left="90"/>
        <w:jc w:val="both"/>
        <w:rPr>
          <w:rFonts w:ascii="David" w:hAnsi="David" w:cs="David"/>
          <w:sz w:val="24"/>
          <w:szCs w:val="24"/>
          <w:u w:val="single"/>
          <w:rtl/>
        </w:rPr>
      </w:pPr>
      <w:r>
        <w:rPr>
          <w:rFonts w:ascii="David" w:hAnsi="David" w:cs="David"/>
          <w:sz w:val="24"/>
          <w:szCs w:val="24"/>
          <w:u w:val="single"/>
          <w:rtl/>
        </w:rPr>
        <w:t xml:space="preserve">ב. </w:t>
      </w:r>
      <w:r>
        <w:rPr>
          <w:rFonts w:ascii="David" w:hAnsi="David" w:cs="David"/>
          <w:sz w:val="24"/>
          <w:szCs w:val="24"/>
          <w:u w:val="single"/>
          <w:rtl/>
        </w:rPr>
        <w:tab/>
        <w:t>אין עסקינן בעתירה תיאורטית</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אמת, פעמים רבות מעלות עתירות אסירים שאלות עקרוניות או שאלות הנוגעות למספר אסירים. לעיתים אין מדובר בשאלה עקרונית, אך להכרעה לא תהיה עוד השפעה על תנאי המאסר של העותר (לדוגמא, אסיר העומד להשתחרר) והעתירה הופכת לעתירה תיאורטית, וכידוע בית המשפט אינו דן בשאלות תיאורטיות, אלא בנסיבות חריגות.</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טענת המשיבים היא כי אין צורך להכריע בהיבטים העקרוניים העולים בעתירה, משום שגם אם היה נדון עניינו של העותר לפי נוסחה הקודם של הפקודה, לא ניתן היה להוציאו לחופשה. </w:t>
      </w:r>
    </w:p>
    <w:p w:rsidR="002D6887" w:rsidRDefault="002D6887" w:rsidP="002D6887">
      <w:pPr>
        <w:pStyle w:val="ae"/>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דא עקא, שכפי שהראינו למעלה, בנוסחה הקודם של הפקודה נפתח פתח, צר אמנם, אשר אִפשר להוציא אסיר תושב הרשות הפלסטינית לחופשה "רגילה", ובכל מקרה עניינו היה מובא לפני ועדה לצורך בחינה פרטנית. הנוסח הנוכחי של הפקודה אינו מאפשר כלל בחינה פרטנית של בקשת אסיר תושב הרשות הפלסטינית לצאת לחופשה "רגילה". כפי שאירע בעניינו של העותר כאן, דינן של בקשות מסוג זה במתווה שקבעה הפקודה – דחיה על הסף.</w:t>
      </w:r>
    </w:p>
    <w:p w:rsidR="002D6887" w:rsidRDefault="002D6887" w:rsidP="002D6887">
      <w:pPr>
        <w:pStyle w:val="ae"/>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 xml:space="preserve">במצב דברים זה אין לומר שהעתירה מעוררת שאלה תיאורטית.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כפועל יוצא, יש לדחות את טענת המשיבים כי התיקון לפקודה נועד רק על מנת להסיר אי-בהירות וגם לפי הדין הקודם לא נדונו בקשות אסירים תושבי הרשות הפלסטינית לצאת לחופשה "רגילה".</w:t>
      </w:r>
    </w:p>
    <w:p w:rsidR="002D6887" w:rsidRDefault="002D6887" w:rsidP="002D6887">
      <w:pPr>
        <w:spacing w:line="360" w:lineRule="auto"/>
        <w:jc w:val="both"/>
        <w:rPr>
          <w:rFonts w:ascii="David" w:hAnsi="David"/>
          <w:rtl/>
        </w:rPr>
      </w:pPr>
    </w:p>
    <w:p w:rsidR="002D6887" w:rsidRDefault="002D6887" w:rsidP="002D6887">
      <w:pPr>
        <w:spacing w:line="360" w:lineRule="auto"/>
        <w:ind w:firstLine="84"/>
        <w:jc w:val="both"/>
        <w:rPr>
          <w:rFonts w:ascii="David" w:hAnsi="David"/>
          <w:u w:val="single"/>
        </w:rPr>
      </w:pPr>
      <w:r>
        <w:rPr>
          <w:rFonts w:ascii="David" w:hAnsi="David"/>
          <w:u w:val="single"/>
          <w:rtl/>
        </w:rPr>
        <w:t xml:space="preserve">ג.  </w:t>
      </w:r>
      <w:r>
        <w:rPr>
          <w:rFonts w:ascii="David" w:hAnsi="David"/>
          <w:u w:val="single"/>
          <w:rtl/>
        </w:rPr>
        <w:tab/>
        <w:t>העתירה לא הוגשה בשיהוי</w:t>
      </w: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בעניין זה ניתן לקצר. העתירה לא הוגשה בשיהוי סובייקטיבי, שהלוא העותר הגיש את עתירתו מיד לאחר שנתקבלה ההחלטה </w:t>
      </w:r>
      <w:proofErr w:type="spellStart"/>
      <w:r>
        <w:rPr>
          <w:rFonts w:ascii="David" w:hAnsi="David" w:cs="David"/>
          <w:sz w:val="24"/>
          <w:szCs w:val="24"/>
          <w:rtl/>
        </w:rPr>
        <w:t>המינהלית</w:t>
      </w:r>
      <w:proofErr w:type="spellEnd"/>
      <w:r>
        <w:rPr>
          <w:rFonts w:ascii="David" w:hAnsi="David" w:cs="David"/>
          <w:sz w:val="24"/>
          <w:szCs w:val="24"/>
          <w:rtl/>
        </w:rPr>
        <w:t xml:space="preserve"> בעניינו. היא אף לא הוגשה בשיהוי אובייקטיבי, שכן ריבו של העותר כאן נולד רק לאחר שנתקבלה החלטה בעניינו ולא – להבדיל מעתירה כללית – לאחר שתוקנה הפקודה, בשנת 2015.</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מעבר לדרוש אציין כי, הלכה למעשה, לוקה טענת השיהוי במעגליות. זאת משום שאם הייתה מוגשת עתירת אסיר כוללנית סמוך לאחר תיקון הפקודה היא הייתה נדחית בהיעדר קונקרטיות, ואם הייתה מתקבלת טענת שיהוי כלפי העתירה הפרטנית רק משום חלוף הזמן מעת שתוקנה הפקודה, התוצאה הייתה שהפקודה, כמוה כפקודות הנציבות האחרות, הייתה חסינה מביקורת שיפוטית. </w:t>
      </w:r>
    </w:p>
    <w:p w:rsidR="002D6887" w:rsidRDefault="002D6887" w:rsidP="002D6887">
      <w:pPr>
        <w:pStyle w:val="ae"/>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 xml:space="preserve">לא לחינם הכירה הפסיקה במצב בו הכרעה שיפוטית עשויה להתרחש לאחר שהאירוע התרחש, אך תוך קיום הסתברות סבירה כי אירועים דומים יתרחשו בעתיד, כחריג אפשרי לכלל לפיו בית המשפט לא ידון בעתירות תיאורטיות, שאם לא כן לא ידון בית המשפט בעתירה לעולם, בהיותה </w:t>
      </w:r>
      <w:r>
        <w:rPr>
          <w:rFonts w:ascii="David" w:hAnsi="David" w:cs="David"/>
          <w:sz w:val="24"/>
          <w:szCs w:val="24"/>
          <w:rtl/>
        </w:rPr>
        <w:lastRenderedPageBreak/>
        <w:t xml:space="preserve">מוקדמת מדי או מאוחרת מדי [ראו י' זמיר </w:t>
      </w:r>
      <w:r>
        <w:rPr>
          <w:rFonts w:ascii="David" w:hAnsi="David" w:cs="David"/>
          <w:b/>
          <w:bCs/>
          <w:sz w:val="24"/>
          <w:szCs w:val="24"/>
          <w:rtl/>
        </w:rPr>
        <w:t xml:space="preserve">הסמכות </w:t>
      </w:r>
      <w:proofErr w:type="spellStart"/>
      <w:r>
        <w:rPr>
          <w:rFonts w:ascii="David" w:hAnsi="David" w:cs="David"/>
          <w:b/>
          <w:bCs/>
          <w:sz w:val="24"/>
          <w:szCs w:val="24"/>
          <w:rtl/>
        </w:rPr>
        <w:t>המינהלית</w:t>
      </w:r>
      <w:proofErr w:type="spellEnd"/>
      <w:r>
        <w:rPr>
          <w:rFonts w:ascii="David" w:hAnsi="David" w:cs="David"/>
          <w:b/>
          <w:bCs/>
          <w:sz w:val="24"/>
          <w:szCs w:val="24"/>
          <w:rtl/>
        </w:rPr>
        <w:t xml:space="preserve"> כרך</w:t>
      </w:r>
      <w:r>
        <w:rPr>
          <w:rFonts w:ascii="David" w:hAnsi="David" w:cs="David"/>
          <w:b/>
          <w:bCs/>
          <w:sz w:val="24"/>
          <w:szCs w:val="24"/>
        </w:rPr>
        <w:t> </w:t>
      </w:r>
      <w:r>
        <w:rPr>
          <w:rFonts w:ascii="David" w:hAnsi="David" w:cs="David"/>
          <w:b/>
          <w:bCs/>
          <w:sz w:val="24"/>
          <w:szCs w:val="24"/>
          <w:rtl/>
        </w:rPr>
        <w:t>ג'</w:t>
      </w:r>
      <w:r>
        <w:rPr>
          <w:rFonts w:ascii="David" w:hAnsi="David" w:cs="David"/>
          <w:sz w:val="24"/>
          <w:szCs w:val="24"/>
          <w:rtl/>
        </w:rPr>
        <w:t xml:space="preserve"> </w:t>
      </w:r>
      <w:r>
        <w:rPr>
          <w:rFonts w:ascii="David" w:hAnsi="David" w:cs="David"/>
          <w:b/>
          <w:bCs/>
          <w:sz w:val="24"/>
          <w:szCs w:val="24"/>
          <w:rtl/>
        </w:rPr>
        <w:t>– הביקורת השיפוטית:</w:t>
      </w:r>
      <w:r>
        <w:rPr>
          <w:rFonts w:ascii="David" w:hAnsi="David" w:cs="David"/>
          <w:sz w:val="24"/>
          <w:szCs w:val="24"/>
          <w:rtl/>
        </w:rPr>
        <w:t xml:space="preserve"> </w:t>
      </w:r>
      <w:r>
        <w:rPr>
          <w:rFonts w:ascii="David" w:hAnsi="David" w:cs="David"/>
          <w:b/>
          <w:bCs/>
          <w:sz w:val="24"/>
          <w:szCs w:val="24"/>
          <w:rtl/>
        </w:rPr>
        <w:t>כללי הסף,</w:t>
      </w:r>
      <w:r>
        <w:rPr>
          <w:rFonts w:ascii="David" w:hAnsi="David" w:cs="David"/>
          <w:sz w:val="24"/>
          <w:szCs w:val="24"/>
          <w:rtl/>
        </w:rPr>
        <w:t xml:space="preserve"> 1829–1830</w:t>
      </w:r>
      <w:r>
        <w:rPr>
          <w:rFonts w:ascii="David" w:hAnsi="David" w:cs="David"/>
          <w:sz w:val="24"/>
          <w:szCs w:val="24"/>
        </w:rPr>
        <w:t xml:space="preserve">(2014) </w:t>
      </w:r>
      <w:r>
        <w:rPr>
          <w:rFonts w:ascii="David" w:hAnsi="David" w:cs="David"/>
          <w:sz w:val="24"/>
          <w:szCs w:val="24"/>
          <w:rtl/>
        </w:rPr>
        <w:t xml:space="preserve">; בג"ץ 5318/21 </w:t>
      </w:r>
      <w:r>
        <w:rPr>
          <w:rFonts w:ascii="David" w:hAnsi="David" w:cs="David"/>
          <w:b/>
          <w:bCs/>
          <w:sz w:val="24"/>
          <w:szCs w:val="24"/>
          <w:rtl/>
        </w:rPr>
        <w:t>עיריית רעננה נ' משטרת ישראל</w:t>
      </w:r>
      <w:r>
        <w:rPr>
          <w:rFonts w:ascii="David" w:hAnsi="David" w:cs="David"/>
          <w:sz w:val="24"/>
          <w:szCs w:val="24"/>
          <w:rtl/>
        </w:rPr>
        <w:t xml:space="preserve">, פסקאות 60-59 (18.5.2022); בג"ץ 73/85 </w:t>
      </w:r>
      <w:r>
        <w:rPr>
          <w:rFonts w:ascii="David" w:hAnsi="David" w:cs="David"/>
          <w:b/>
          <w:bCs/>
          <w:sz w:val="24"/>
          <w:szCs w:val="24"/>
          <w:rtl/>
        </w:rPr>
        <w:t>סיעת "כך" נ' שלמה הלל - יושב-ראש הכנסת</w:t>
      </w:r>
      <w:r>
        <w:rPr>
          <w:rFonts w:ascii="David" w:hAnsi="David" w:cs="David"/>
          <w:sz w:val="24"/>
          <w:szCs w:val="24"/>
          <w:rtl/>
        </w:rPr>
        <w:t xml:space="preserve">, לט(3) 141, 146 (1986).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מצאתי לדחות אפוא את טענת השיהוי.</w:t>
      </w:r>
    </w:p>
    <w:p w:rsidR="002D6887" w:rsidRDefault="002D6887" w:rsidP="002D6887">
      <w:pPr>
        <w:spacing w:line="360" w:lineRule="auto"/>
        <w:jc w:val="both"/>
        <w:rPr>
          <w:rFonts w:ascii="David" w:hAnsi="David"/>
          <w:b/>
          <w:bCs/>
        </w:rPr>
      </w:pPr>
    </w:p>
    <w:p w:rsidR="002D6887" w:rsidRDefault="002D6887" w:rsidP="002D6887">
      <w:pPr>
        <w:spacing w:line="360" w:lineRule="auto"/>
        <w:ind w:firstLine="84"/>
        <w:jc w:val="both"/>
        <w:rPr>
          <w:rFonts w:ascii="David" w:hAnsi="David"/>
          <w:b/>
          <w:bCs/>
          <w:u w:val="single"/>
          <w:rtl/>
        </w:rPr>
      </w:pPr>
      <w:r>
        <w:rPr>
          <w:rFonts w:ascii="David" w:hAnsi="David"/>
          <w:b/>
          <w:bCs/>
          <w:u w:val="single"/>
          <w:rtl/>
        </w:rPr>
        <w:t>ומכאן לדיון בעתירה גופה</w:t>
      </w:r>
    </w:p>
    <w:p w:rsidR="002D6887" w:rsidRDefault="002D6887" w:rsidP="002D6887">
      <w:pPr>
        <w:pStyle w:val="ae"/>
        <w:numPr>
          <w:ilvl w:val="0"/>
          <w:numId w:val="1"/>
        </w:numPr>
        <w:spacing w:after="0" w:line="360" w:lineRule="auto"/>
        <w:ind w:left="84" w:firstLine="0"/>
        <w:jc w:val="both"/>
        <w:rPr>
          <w:rtl/>
        </w:rPr>
      </w:pPr>
      <w:r>
        <w:rPr>
          <w:rFonts w:ascii="David" w:hAnsi="David" w:cs="David"/>
          <w:sz w:val="24"/>
          <w:szCs w:val="24"/>
          <w:rtl/>
        </w:rPr>
        <w:t xml:space="preserve">על שירות בתי הסוהר, ככל רשות </w:t>
      </w:r>
      <w:proofErr w:type="spellStart"/>
      <w:r>
        <w:rPr>
          <w:rFonts w:ascii="David" w:hAnsi="David" w:cs="David"/>
          <w:sz w:val="24"/>
          <w:szCs w:val="24"/>
          <w:rtl/>
        </w:rPr>
        <w:t>מינהלית</w:t>
      </w:r>
      <w:proofErr w:type="spellEnd"/>
      <w:r>
        <w:rPr>
          <w:rFonts w:ascii="David" w:hAnsi="David" w:cs="David"/>
          <w:sz w:val="24"/>
          <w:szCs w:val="24"/>
          <w:rtl/>
        </w:rPr>
        <w:t xml:space="preserve">, חלים כללים ולפיהם עליו להפעיל את סמכותו בסבירות, מידתיות ובלא משוא פנים, כאשר הסבירות והמידתיות מושפעות ממהות הסמכות. בניהול מערכת הכליאה ישנם אתגרים לא פשוטים ועל כן עומדים לנציב ולשירות בתי הסוהר מתחמי סבירות ומידתיות רחבים יותר באופן יחסי, ובית המשפט ימעט להתערב בקביעת המדיניות בידי הנציב [בג"ץ 3477/95 </w:t>
      </w:r>
      <w:r>
        <w:rPr>
          <w:rFonts w:ascii="David" w:hAnsi="David" w:cs="David"/>
          <w:b/>
          <w:bCs/>
          <w:sz w:val="24"/>
          <w:szCs w:val="24"/>
          <w:rtl/>
        </w:rPr>
        <w:t>ישראל בן-</w:t>
      </w:r>
      <w:proofErr w:type="spellStart"/>
      <w:r>
        <w:rPr>
          <w:rFonts w:ascii="David" w:hAnsi="David" w:cs="David"/>
          <w:b/>
          <w:bCs/>
          <w:sz w:val="24"/>
          <w:szCs w:val="24"/>
          <w:rtl/>
        </w:rPr>
        <w:t>עטייה</w:t>
      </w:r>
      <w:proofErr w:type="spellEnd"/>
      <w:r>
        <w:rPr>
          <w:rFonts w:ascii="David" w:hAnsi="David" w:cs="David"/>
          <w:b/>
          <w:bCs/>
          <w:sz w:val="24"/>
          <w:szCs w:val="24"/>
          <w:rtl/>
        </w:rPr>
        <w:t xml:space="preserve"> נ' שר החינוך, התרבות והספורט</w:t>
      </w:r>
      <w:r>
        <w:rPr>
          <w:rFonts w:ascii="David" w:hAnsi="David" w:cs="David"/>
          <w:sz w:val="24"/>
          <w:szCs w:val="24"/>
          <w:rtl/>
        </w:rPr>
        <w:t xml:space="preserve">, מט(5) 1 </w:t>
      </w:r>
      <w:r>
        <w:rPr>
          <w:rFonts w:ascii="David" w:hAnsi="David" w:cs="David"/>
          <w:sz w:val="24"/>
          <w:szCs w:val="24"/>
        </w:rPr>
        <w:t>(1996)</w:t>
      </w:r>
      <w:r>
        <w:rPr>
          <w:rFonts w:ascii="David" w:hAnsi="David" w:cs="David"/>
          <w:sz w:val="24"/>
          <w:szCs w:val="24"/>
          <w:rtl/>
        </w:rPr>
        <w:t xml:space="preserve">; רע"ב 6561/97 </w:t>
      </w:r>
      <w:r>
        <w:rPr>
          <w:rFonts w:ascii="David" w:hAnsi="David" w:cs="David"/>
          <w:b/>
          <w:bCs/>
          <w:sz w:val="24"/>
          <w:szCs w:val="24"/>
          <w:rtl/>
        </w:rPr>
        <w:t>מדינת ישראל נ' רונן מנדלסון ו-19 אח',</w:t>
      </w:r>
      <w:r>
        <w:rPr>
          <w:rFonts w:ascii="David" w:hAnsi="David" w:cs="David"/>
          <w:sz w:val="24"/>
          <w:szCs w:val="24"/>
          <w:rtl/>
        </w:rPr>
        <w:t xml:space="preserve"> פ"ד נב(5) 849 (1998)]</w:t>
      </w:r>
      <w:r>
        <w:rPr>
          <w:rtl/>
        </w:rPr>
        <w:t>.</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לא מצאתי לקבל את טענת העותר כי שורש הבעיה נעוץ בפרשנות שגויה של שב"ס להוראות הפקודה. כמתואר למעלה, הוראות הפקודה ברורות והן אכן שוללות את סמכות הגורמים הרלוונטיים לבחון באופן פרטני בקשת אסיר שמקום מושבו ברשות הפלסטינית לחופשה "רגילה".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השאלה בה יש למקד את הדיון היא האם ניתן לקיים הוראות גורפות אלה שבפקודה.</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אפתח במושכלות ראשונים: מתן חופשות "רגילות" לאסיר איננו בגדר זכות קנויה לאסיר, אלא זוהי טובת הנאה שרשאי מנהל בית הסוהר להעניק לאסיר, או </w:t>
      </w:r>
      <w:proofErr w:type="spellStart"/>
      <w:r>
        <w:rPr>
          <w:rFonts w:ascii="David" w:hAnsi="David" w:cs="David"/>
          <w:sz w:val="24"/>
          <w:szCs w:val="24"/>
          <w:rtl/>
        </w:rPr>
        <w:t>למונעה</w:t>
      </w:r>
      <w:proofErr w:type="spellEnd"/>
      <w:r>
        <w:rPr>
          <w:rFonts w:ascii="David" w:hAnsi="David" w:cs="David"/>
          <w:sz w:val="24"/>
          <w:szCs w:val="24"/>
          <w:rtl/>
        </w:rPr>
        <w:t xml:space="preserve"> ממנו, לפי שיקול דעתו. כך עולה במפורש מסעיף 36(א) לפקודת בתי הסוהר, שלפיו השר (אם כי סמכות זו הואצלה לבעלי תפקידים בשב"ס) </w:t>
      </w:r>
      <w:r>
        <w:rPr>
          <w:rFonts w:ascii="David" w:hAnsi="David" w:cs="David"/>
          <w:b/>
          <w:bCs/>
          <w:sz w:val="24"/>
          <w:szCs w:val="24"/>
          <w:rtl/>
        </w:rPr>
        <w:t>רשאי</w:t>
      </w:r>
      <w:r>
        <w:rPr>
          <w:rFonts w:ascii="David" w:hAnsi="David" w:cs="David"/>
          <w:sz w:val="24"/>
          <w:szCs w:val="24"/>
          <w:rtl/>
        </w:rPr>
        <w:t xml:space="preserve"> לאשר חופשה לאסיר, וכן מהוראת תקנה 19(א) לתקנות בתי הסוהר, התשל"ח-1978, שלפיה </w:t>
      </w:r>
      <w:r>
        <w:rPr>
          <w:rFonts w:ascii="David" w:hAnsi="David" w:cs="David"/>
          <w:b/>
          <w:bCs/>
          <w:sz w:val="24"/>
          <w:szCs w:val="24"/>
          <w:rtl/>
        </w:rPr>
        <w:t>רשאי</w:t>
      </w:r>
      <w:r>
        <w:rPr>
          <w:rFonts w:ascii="David" w:hAnsi="David" w:cs="David"/>
          <w:sz w:val="24"/>
          <w:szCs w:val="24"/>
          <w:rtl/>
        </w:rPr>
        <w:t xml:space="preserve"> מנהל בית סוהר, על פי כללים שקבע הנציב, להעניק לאסיר </w:t>
      </w:r>
      <w:r>
        <w:rPr>
          <w:rFonts w:ascii="David" w:hAnsi="David" w:cs="David"/>
          <w:b/>
          <w:bCs/>
          <w:sz w:val="24"/>
          <w:szCs w:val="24"/>
          <w:rtl/>
        </w:rPr>
        <w:t>טובות הנאה מעבר לזכויות שנקבעו בחיקוק, כגון חופשות</w:t>
      </w:r>
      <w:r>
        <w:rPr>
          <w:rFonts w:ascii="David" w:hAnsi="David" w:cs="David"/>
          <w:sz w:val="24"/>
          <w:szCs w:val="24"/>
          <w:rtl/>
        </w:rPr>
        <w:t xml:space="preserve">. </w:t>
      </w:r>
    </w:p>
    <w:p w:rsidR="002D6887" w:rsidRDefault="002D6887" w:rsidP="002D6887">
      <w:pPr>
        <w:pStyle w:val="ae"/>
        <w:spacing w:after="0" w:line="360" w:lineRule="auto"/>
        <w:ind w:left="84"/>
        <w:jc w:val="both"/>
        <w:rPr>
          <w:rFonts w:ascii="David" w:hAnsi="David" w:cs="David"/>
          <w:sz w:val="24"/>
          <w:szCs w:val="24"/>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כך מורה גם ההלכה הפסוקה: </w:t>
      </w:r>
      <w:proofErr w:type="spellStart"/>
      <w:r>
        <w:rPr>
          <w:rFonts w:ascii="David" w:hAnsi="David" w:cs="David"/>
          <w:sz w:val="24"/>
          <w:szCs w:val="24"/>
          <w:rtl/>
        </w:rPr>
        <w:t>עע"א</w:t>
      </w:r>
      <w:proofErr w:type="spellEnd"/>
      <w:r>
        <w:rPr>
          <w:rFonts w:ascii="David" w:hAnsi="David" w:cs="David"/>
          <w:sz w:val="24"/>
          <w:szCs w:val="24"/>
          <w:rtl/>
        </w:rPr>
        <w:t xml:space="preserve"> 6481/01 </w:t>
      </w:r>
      <w:r>
        <w:rPr>
          <w:rFonts w:ascii="David" w:hAnsi="David" w:cs="David"/>
          <w:b/>
          <w:bCs/>
          <w:sz w:val="24"/>
          <w:szCs w:val="24"/>
          <w:rtl/>
        </w:rPr>
        <w:t>אל עביד נ' שירות בתי הסוהר</w:t>
      </w:r>
      <w:r>
        <w:rPr>
          <w:rFonts w:ascii="David" w:hAnsi="David" w:cs="David"/>
          <w:sz w:val="24"/>
          <w:szCs w:val="24"/>
          <w:rtl/>
        </w:rPr>
        <w:t xml:space="preserve">, פ"ד </w:t>
      </w:r>
      <w:proofErr w:type="spellStart"/>
      <w:r>
        <w:rPr>
          <w:rFonts w:ascii="David" w:hAnsi="David" w:cs="David"/>
          <w:sz w:val="24"/>
          <w:szCs w:val="24"/>
          <w:rtl/>
        </w:rPr>
        <w:t>נז</w:t>
      </w:r>
      <w:proofErr w:type="spellEnd"/>
      <w:r>
        <w:rPr>
          <w:rFonts w:ascii="David" w:hAnsi="David" w:cs="David"/>
          <w:sz w:val="24"/>
          <w:szCs w:val="24"/>
          <w:rtl/>
        </w:rPr>
        <w:t xml:space="preserve">(6) 678, 713 (23.10.2003) (להלן: </w:t>
      </w:r>
      <w:r>
        <w:rPr>
          <w:rFonts w:ascii="Miriam" w:hAnsi="Miriam" w:cs="Miriam"/>
          <w:b/>
          <w:bCs/>
          <w:sz w:val="24"/>
          <w:szCs w:val="24"/>
          <w:rtl/>
        </w:rPr>
        <w:t>עניין אל עביד</w:t>
      </w:r>
      <w:r>
        <w:rPr>
          <w:rFonts w:ascii="David" w:hAnsi="David" w:cs="David"/>
          <w:sz w:val="24"/>
          <w:szCs w:val="24"/>
          <w:rtl/>
        </w:rPr>
        <w:t xml:space="preserve">); רע"ב 6956/09 </w:t>
      </w:r>
      <w:r>
        <w:rPr>
          <w:rFonts w:ascii="David" w:hAnsi="David" w:cs="David"/>
          <w:b/>
          <w:bCs/>
          <w:sz w:val="24"/>
          <w:szCs w:val="24"/>
          <w:rtl/>
        </w:rPr>
        <w:t>יונס נ' שירות בתי הסוהר</w:t>
      </w:r>
      <w:r>
        <w:rPr>
          <w:rFonts w:ascii="David" w:hAnsi="David" w:cs="David"/>
          <w:sz w:val="24"/>
          <w:szCs w:val="24"/>
          <w:rtl/>
        </w:rPr>
        <w:t xml:space="preserve"> (7.10.2010) (להלן: </w:t>
      </w:r>
      <w:r>
        <w:rPr>
          <w:rFonts w:ascii="Miriam" w:hAnsi="Miriam" w:cs="Miriam"/>
          <w:b/>
          <w:bCs/>
          <w:sz w:val="24"/>
          <w:szCs w:val="24"/>
          <w:rtl/>
        </w:rPr>
        <w:t>עניין יונס</w:t>
      </w:r>
      <w:r>
        <w:rPr>
          <w:rFonts w:ascii="David" w:hAnsi="David" w:cs="David"/>
          <w:sz w:val="24"/>
          <w:szCs w:val="24"/>
          <w:rtl/>
        </w:rPr>
        <w:t xml:space="preserve">), פסקאות 6 ו-7 לפסק דינה של כב' השופטת א' </w:t>
      </w:r>
      <w:proofErr w:type="spellStart"/>
      <w:r>
        <w:rPr>
          <w:rFonts w:ascii="David" w:hAnsi="David" w:cs="David"/>
          <w:sz w:val="24"/>
          <w:szCs w:val="24"/>
          <w:rtl/>
        </w:rPr>
        <w:t>פרוקצ'יה</w:t>
      </w:r>
      <w:proofErr w:type="spellEnd"/>
      <w:r>
        <w:rPr>
          <w:rFonts w:ascii="David" w:hAnsi="David" w:cs="David"/>
          <w:sz w:val="24"/>
          <w:szCs w:val="24"/>
          <w:rtl/>
        </w:rPr>
        <w:t xml:space="preserve">; עניין </w:t>
      </w:r>
      <w:r>
        <w:rPr>
          <w:rFonts w:ascii="David" w:hAnsi="David" w:cs="David"/>
          <w:b/>
          <w:bCs/>
          <w:sz w:val="24"/>
          <w:szCs w:val="24"/>
          <w:rtl/>
        </w:rPr>
        <w:t>אבו-</w:t>
      </w:r>
      <w:proofErr w:type="spellStart"/>
      <w:r>
        <w:rPr>
          <w:rFonts w:ascii="David" w:hAnsi="David" w:cs="David"/>
          <w:b/>
          <w:bCs/>
          <w:sz w:val="24"/>
          <w:szCs w:val="24"/>
          <w:rtl/>
        </w:rPr>
        <w:t>צאלוק</w:t>
      </w:r>
      <w:proofErr w:type="spellEnd"/>
      <w:r>
        <w:rPr>
          <w:rFonts w:ascii="David" w:hAnsi="David" w:cs="David"/>
          <w:sz w:val="24"/>
          <w:szCs w:val="24"/>
          <w:rtl/>
        </w:rPr>
        <w:t xml:space="preserve">; רע"ב 8802/14 </w:t>
      </w:r>
      <w:r>
        <w:rPr>
          <w:rFonts w:ascii="David" w:hAnsi="David" w:cs="David"/>
          <w:b/>
          <w:bCs/>
          <w:sz w:val="24"/>
          <w:szCs w:val="24"/>
          <w:rtl/>
        </w:rPr>
        <w:t>פלוני נ' שירות בתי הסוהר</w:t>
      </w:r>
      <w:r>
        <w:rPr>
          <w:rFonts w:ascii="David" w:hAnsi="David" w:cs="David"/>
          <w:sz w:val="24"/>
          <w:szCs w:val="24"/>
          <w:rtl/>
        </w:rPr>
        <w:t xml:space="preserve">, פסקה 11 (23.3.2015); קע"ב 8571/07 </w:t>
      </w:r>
      <w:r>
        <w:rPr>
          <w:rFonts w:ascii="David" w:hAnsi="David" w:cs="David"/>
          <w:b/>
          <w:bCs/>
          <w:sz w:val="24"/>
          <w:szCs w:val="24"/>
          <w:rtl/>
        </w:rPr>
        <w:t>מדינת ישראל נ' גמליאל</w:t>
      </w:r>
      <w:r>
        <w:rPr>
          <w:rFonts w:ascii="David" w:hAnsi="David" w:cs="David"/>
          <w:sz w:val="24"/>
          <w:szCs w:val="24"/>
          <w:rtl/>
        </w:rPr>
        <w:t xml:space="preserve"> , פסקה 6 (21.2.2008). ראו גם בג"ץ 581/80 </w:t>
      </w:r>
      <w:proofErr w:type="spellStart"/>
      <w:r>
        <w:rPr>
          <w:rFonts w:ascii="David" w:hAnsi="David" w:cs="David"/>
          <w:b/>
          <w:bCs/>
          <w:sz w:val="24"/>
          <w:szCs w:val="24"/>
          <w:rtl/>
        </w:rPr>
        <w:t>אמסלם</w:t>
      </w:r>
      <w:proofErr w:type="spellEnd"/>
      <w:r>
        <w:rPr>
          <w:rFonts w:ascii="David" w:hAnsi="David" w:cs="David"/>
          <w:b/>
          <w:bCs/>
          <w:sz w:val="24"/>
          <w:szCs w:val="24"/>
          <w:rtl/>
        </w:rPr>
        <w:t xml:space="preserve"> נ' נציב שירות בתי-הסוהר</w:t>
      </w:r>
      <w:r>
        <w:rPr>
          <w:rFonts w:ascii="David" w:hAnsi="David" w:cs="David"/>
          <w:sz w:val="24"/>
          <w:szCs w:val="24"/>
          <w:rtl/>
        </w:rPr>
        <w:t xml:space="preserve">, פ"ד לה(2) 325, 329-328 (1981). </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כיוון שיציאה לחופשות אינה מוחזקת כחלק מזכויות האדם המוכרות של האסיר, שהגבלתן כפופה לעקרונות פסקת ההגבלה, חסינות הוראות הפקודה בנוגע לחופשה "רגילה" לאסיר מפני </w:t>
      </w:r>
      <w:r>
        <w:rPr>
          <w:rFonts w:ascii="David" w:hAnsi="David" w:cs="David"/>
          <w:sz w:val="24"/>
          <w:szCs w:val="24"/>
          <w:rtl/>
        </w:rPr>
        <w:lastRenderedPageBreak/>
        <w:t>בחינה חוקתית ישירה בהתאם לחוק יסוד: כבוד האדם וחירותו [השוו: עניין</w:t>
      </w:r>
      <w:r>
        <w:rPr>
          <w:rFonts w:ascii="David" w:hAnsi="David" w:cs="David"/>
          <w:b/>
          <w:bCs/>
          <w:sz w:val="24"/>
          <w:szCs w:val="24"/>
          <w:rtl/>
        </w:rPr>
        <w:t xml:space="preserve"> יונס</w:t>
      </w:r>
      <w:r>
        <w:rPr>
          <w:rFonts w:ascii="David" w:hAnsi="David" w:cs="David"/>
          <w:sz w:val="24"/>
          <w:szCs w:val="24"/>
          <w:rtl/>
        </w:rPr>
        <w:t xml:space="preserve">, פסקה 7 לחוות דעתה של כב' השופטת א' </w:t>
      </w:r>
      <w:proofErr w:type="spellStart"/>
      <w:r>
        <w:rPr>
          <w:rFonts w:ascii="David" w:hAnsi="David" w:cs="David"/>
          <w:sz w:val="24"/>
          <w:szCs w:val="24"/>
          <w:rtl/>
        </w:rPr>
        <w:t>פרוקצ'יה</w:t>
      </w:r>
      <w:proofErr w:type="spellEnd"/>
      <w:r>
        <w:rPr>
          <w:rFonts w:ascii="David" w:hAnsi="David" w:cs="David"/>
          <w:sz w:val="24"/>
          <w:szCs w:val="24"/>
          <w:rtl/>
        </w:rPr>
        <w:t xml:space="preserve">; בג"ץ 6314/17 </w:t>
      </w:r>
      <w:r>
        <w:rPr>
          <w:rFonts w:ascii="David" w:hAnsi="David" w:cs="David"/>
          <w:b/>
          <w:bCs/>
          <w:sz w:val="24"/>
          <w:szCs w:val="24"/>
          <w:rtl/>
        </w:rPr>
        <w:t>נמנם נ' מדינת ישראל</w:t>
      </w:r>
      <w:r>
        <w:rPr>
          <w:rFonts w:ascii="David" w:hAnsi="David" w:cs="David"/>
          <w:sz w:val="24"/>
          <w:szCs w:val="24"/>
          <w:rtl/>
        </w:rPr>
        <w:t xml:space="preserve"> (4.6.2019) (להלן: </w:t>
      </w:r>
      <w:r>
        <w:rPr>
          <w:rFonts w:ascii="Miriam" w:hAnsi="Miriam" w:cs="Miriam"/>
          <w:b/>
          <w:bCs/>
          <w:sz w:val="24"/>
          <w:szCs w:val="24"/>
          <w:rtl/>
        </w:rPr>
        <w:t>עניין נמנם</w:t>
      </w:r>
      <w:r>
        <w:rPr>
          <w:rFonts w:ascii="David" w:hAnsi="David" w:cs="David"/>
          <w:sz w:val="24"/>
          <w:szCs w:val="24"/>
          <w:rtl/>
        </w:rPr>
        <w:t>), פסקה 6 לפסק דינו של כב' השופט (כתוארו אז) נ' הנדל)].</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עם זה, כפי שצוין למשל בעניין </w:t>
      </w:r>
      <w:r>
        <w:rPr>
          <w:rFonts w:ascii="David" w:hAnsi="David" w:cs="David" w:hint="cs"/>
          <w:b/>
          <w:bCs/>
          <w:sz w:val="24"/>
          <w:szCs w:val="24"/>
          <w:rtl/>
        </w:rPr>
        <w:t>אבו-</w:t>
      </w:r>
      <w:proofErr w:type="spellStart"/>
      <w:r>
        <w:rPr>
          <w:rFonts w:ascii="David" w:hAnsi="David" w:cs="David" w:hint="cs"/>
          <w:b/>
          <w:bCs/>
          <w:sz w:val="24"/>
          <w:szCs w:val="24"/>
          <w:rtl/>
        </w:rPr>
        <w:t>צעלוק</w:t>
      </w:r>
      <w:proofErr w:type="spellEnd"/>
      <w:r>
        <w:rPr>
          <w:rFonts w:ascii="David" w:hAnsi="David" w:cs="David" w:hint="cs"/>
          <w:sz w:val="24"/>
          <w:szCs w:val="24"/>
          <w:rtl/>
        </w:rPr>
        <w:t xml:space="preserve">, אין פירוש הדבר שהוראות הפקודה חסינות מעילות הביקורת של המשפט </w:t>
      </w:r>
      <w:proofErr w:type="spellStart"/>
      <w:r>
        <w:rPr>
          <w:rFonts w:ascii="David" w:hAnsi="David" w:cs="David" w:hint="cs"/>
          <w:sz w:val="24"/>
          <w:szCs w:val="24"/>
          <w:rtl/>
        </w:rPr>
        <w:t>המינהלי</w:t>
      </w:r>
      <w:proofErr w:type="spellEnd"/>
      <w:r>
        <w:rPr>
          <w:rFonts w:ascii="David" w:hAnsi="David" w:cs="David" w:hint="cs"/>
          <w:sz w:val="24"/>
          <w:szCs w:val="24"/>
          <w:rtl/>
        </w:rPr>
        <w:t xml:space="preserve">. </w:t>
      </w:r>
    </w:p>
    <w:p w:rsidR="002D6887" w:rsidRDefault="002D6887" w:rsidP="002D6887">
      <w:pPr>
        <w:pStyle w:val="ae"/>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חופשת אסירים "רגילה" היא כלי </w:t>
      </w:r>
      <w:proofErr w:type="spellStart"/>
      <w:r>
        <w:rPr>
          <w:rFonts w:ascii="David" w:hAnsi="David" w:cs="David"/>
          <w:sz w:val="24"/>
          <w:szCs w:val="24"/>
          <w:rtl/>
        </w:rPr>
        <w:t>מינהלי</w:t>
      </w:r>
      <w:proofErr w:type="spellEnd"/>
      <w:r>
        <w:rPr>
          <w:rFonts w:ascii="David" w:hAnsi="David" w:cs="David"/>
          <w:sz w:val="24"/>
          <w:szCs w:val="24"/>
          <w:rtl/>
        </w:rPr>
        <w:t xml:space="preserve"> חשוב שהשימוש בו עשוי להפוך את המגבלה על חירותו של האסיר למידתית יותר, וכאמור לעיל הפקודה עצמה רואה תועלות חשובות במתן חופשה לאסיר. על כך יש להוסיף את העובדה כי מתן חופשה "רגילה" לאסיר הוא נדבך משמעותי בהגשמת מארג שלם של זכויות ופריבילגיות אחרות בהן עשוי האסיר לזכות, בראש ובראשונה הזכות לשחרור מוקדם.</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על כן, בנוגע לאפשרות לזכות בחופשה "רגילה", והדבר נכון גם ביחס לכל טובות ההנאה האחרות, אין האסיר מופקר לשרירות שב"ס: </w:t>
      </w:r>
    </w:p>
    <w:p w:rsidR="002D6887" w:rsidRDefault="002D6887" w:rsidP="002D6887">
      <w:pPr>
        <w:pStyle w:val="ae"/>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w:t>
      </w:r>
      <w:r>
        <w:rPr>
          <w:rFonts w:ascii="Miriam" w:hAnsi="Miriam" w:cs="Miriam"/>
          <w:sz w:val="24"/>
          <w:szCs w:val="24"/>
          <w:rtl/>
        </w:rPr>
        <w:t xml:space="preserve">הנהלים והכללים אשר קבעה נציבות שירות בתי הסוהר לאישור חופשותיהם של אסירים, מושתתים על ההוראות </w:t>
      </w:r>
      <w:proofErr w:type="spellStart"/>
      <w:r>
        <w:rPr>
          <w:rFonts w:ascii="Miriam" w:hAnsi="Miriam" w:cs="Miriam"/>
          <w:sz w:val="24"/>
          <w:szCs w:val="24"/>
          <w:rtl/>
        </w:rPr>
        <w:t>הסטוטוריות</w:t>
      </w:r>
      <w:proofErr w:type="spellEnd"/>
      <w:r>
        <w:rPr>
          <w:rFonts w:ascii="Miriam" w:hAnsi="Miriam" w:cs="Miriam"/>
          <w:sz w:val="24"/>
          <w:szCs w:val="24"/>
          <w:rtl/>
        </w:rPr>
        <w:t xml:space="preserve"> שבפקודת בתי הסוהר ועל התקנות שמכוחן, ויש ליישמם בהתאם לעקרונות היסוד של שיטתנו המשפטית</w:t>
      </w:r>
      <w:r>
        <w:rPr>
          <w:rFonts w:ascii="David" w:hAnsi="David" w:cs="David"/>
          <w:sz w:val="24"/>
          <w:szCs w:val="24"/>
          <w:rtl/>
        </w:rPr>
        <w:t>" (עניין</w:t>
      </w:r>
      <w:r>
        <w:rPr>
          <w:rFonts w:ascii="David" w:hAnsi="David" w:cs="David"/>
          <w:b/>
          <w:bCs/>
          <w:sz w:val="24"/>
          <w:szCs w:val="24"/>
          <w:rtl/>
        </w:rPr>
        <w:t xml:space="preserve"> אל עביד</w:t>
      </w:r>
      <w:r>
        <w:rPr>
          <w:rFonts w:ascii="David" w:hAnsi="David" w:cs="David"/>
          <w:sz w:val="24"/>
          <w:szCs w:val="24"/>
          <w:rtl/>
        </w:rPr>
        <w:t>, עמ' 710).</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על הוראות הפקודה לעמוד, בין היתר, באיסור להפלות בין אסירים המשתייכים לאותה קבוצת שוויון. בנוסף, עליהן להתבסס כמובן על נימוקים ענייניים, ולעמוד במבחני הסבירות והמידתיות [עניין</w:t>
      </w:r>
      <w:r>
        <w:rPr>
          <w:rFonts w:ascii="David" w:hAnsi="David" w:cs="David"/>
          <w:b/>
          <w:bCs/>
          <w:sz w:val="24"/>
          <w:szCs w:val="24"/>
          <w:rtl/>
        </w:rPr>
        <w:t xml:space="preserve"> נמנם</w:t>
      </w:r>
      <w:r>
        <w:rPr>
          <w:rFonts w:ascii="David" w:hAnsi="David" w:cs="David"/>
          <w:sz w:val="24"/>
          <w:szCs w:val="24"/>
          <w:rtl/>
        </w:rPr>
        <w:t xml:space="preserve">; </w:t>
      </w:r>
      <w:proofErr w:type="spellStart"/>
      <w:r>
        <w:rPr>
          <w:rFonts w:ascii="David" w:hAnsi="David" w:cs="David"/>
          <w:sz w:val="24"/>
          <w:szCs w:val="24"/>
          <w:rtl/>
        </w:rPr>
        <w:t>דנג"ץ</w:t>
      </w:r>
      <w:proofErr w:type="spellEnd"/>
      <w:r>
        <w:rPr>
          <w:rFonts w:ascii="David" w:hAnsi="David" w:cs="David"/>
          <w:sz w:val="24"/>
          <w:szCs w:val="24"/>
          <w:rtl/>
        </w:rPr>
        <w:t xml:space="preserve"> 204/13 </w:t>
      </w:r>
      <w:r>
        <w:rPr>
          <w:rFonts w:ascii="David" w:hAnsi="David" w:cs="David"/>
          <w:b/>
          <w:bCs/>
          <w:sz w:val="24"/>
          <w:szCs w:val="24"/>
          <w:rtl/>
        </w:rPr>
        <w:t xml:space="preserve">סעיד </w:t>
      </w:r>
      <w:proofErr w:type="spellStart"/>
      <w:r>
        <w:rPr>
          <w:rFonts w:ascii="David" w:hAnsi="David" w:cs="David"/>
          <w:b/>
          <w:bCs/>
          <w:sz w:val="24"/>
          <w:szCs w:val="24"/>
          <w:rtl/>
        </w:rPr>
        <w:t>צלאח</w:t>
      </w:r>
      <w:proofErr w:type="spellEnd"/>
      <w:r>
        <w:rPr>
          <w:rFonts w:ascii="David" w:hAnsi="David" w:cs="David"/>
          <w:b/>
          <w:bCs/>
          <w:sz w:val="24"/>
          <w:szCs w:val="24"/>
          <w:rtl/>
        </w:rPr>
        <w:t xml:space="preserve"> נ' שרות בתי הסוהר</w:t>
      </w:r>
      <w:r>
        <w:rPr>
          <w:rFonts w:ascii="David" w:hAnsi="David" w:cs="David"/>
          <w:sz w:val="24"/>
          <w:szCs w:val="24"/>
          <w:rtl/>
        </w:rPr>
        <w:t xml:space="preserve"> (14.4.2015), (להלן: </w:t>
      </w:r>
      <w:r>
        <w:rPr>
          <w:rFonts w:ascii="Miriam" w:hAnsi="Miriam" w:cs="Miriam"/>
          <w:b/>
          <w:bCs/>
          <w:sz w:val="24"/>
          <w:szCs w:val="24"/>
          <w:rtl/>
        </w:rPr>
        <w:t xml:space="preserve">עניין </w:t>
      </w:r>
      <w:proofErr w:type="spellStart"/>
      <w:r>
        <w:rPr>
          <w:rFonts w:ascii="Miriam" w:hAnsi="Miriam" w:cs="Miriam"/>
          <w:b/>
          <w:bCs/>
          <w:sz w:val="24"/>
          <w:szCs w:val="24"/>
          <w:rtl/>
        </w:rPr>
        <w:t>צלאח</w:t>
      </w:r>
      <w:proofErr w:type="spellEnd"/>
      <w:r>
        <w:rPr>
          <w:rFonts w:ascii="David" w:hAnsi="David" w:cs="David"/>
          <w:sz w:val="24"/>
          <w:szCs w:val="24"/>
          <w:rtl/>
        </w:rPr>
        <w:t>)].</w:t>
      </w:r>
    </w:p>
    <w:p w:rsidR="002D6887" w:rsidRDefault="002D6887" w:rsidP="002D6887">
      <w:pPr>
        <w:spacing w:line="360" w:lineRule="auto"/>
        <w:ind w:firstLine="84"/>
        <w:jc w:val="both"/>
        <w:rPr>
          <w:rFonts w:ascii="David" w:hAnsi="David"/>
          <w:rtl/>
        </w:rPr>
      </w:pPr>
    </w:p>
    <w:p w:rsidR="002D6887" w:rsidRDefault="002D6887" w:rsidP="002D6887">
      <w:pPr>
        <w:pStyle w:val="ae"/>
        <w:numPr>
          <w:ilvl w:val="0"/>
          <w:numId w:val="1"/>
        </w:numPr>
        <w:spacing w:after="0" w:line="360" w:lineRule="auto"/>
        <w:ind w:left="84" w:firstLine="0"/>
        <w:jc w:val="both"/>
        <w:rPr>
          <w:rFonts w:ascii="David" w:hAnsi="David" w:cs="David"/>
          <w:color w:val="000000"/>
          <w:spacing w:val="10"/>
          <w:sz w:val="24"/>
          <w:szCs w:val="24"/>
        </w:rPr>
      </w:pPr>
      <w:r>
        <w:rPr>
          <w:rFonts w:ascii="David" w:hAnsi="David" w:cs="David"/>
          <w:color w:val="000000"/>
          <w:spacing w:val="10"/>
          <w:sz w:val="24"/>
          <w:szCs w:val="24"/>
          <w:rtl/>
        </w:rPr>
        <w:t>עקרון השוויון והחובה שלא להפלות, שאינה אלא תמונת ראי של זכות האדם לשוויון, מבוססים היטב במשפטנו:</w:t>
      </w:r>
    </w:p>
    <w:p w:rsidR="002D6887" w:rsidRDefault="002D6887" w:rsidP="002D6887">
      <w:pPr>
        <w:pStyle w:val="ae"/>
        <w:spacing w:after="0" w:line="360" w:lineRule="auto"/>
        <w:ind w:left="84"/>
        <w:jc w:val="both"/>
        <w:rPr>
          <w:rFonts w:ascii="David" w:hAnsi="David" w:cs="David"/>
          <w:color w:val="000000"/>
          <w:spacing w:val="10"/>
          <w:sz w:val="24"/>
          <w:szCs w:val="24"/>
          <w:rtl/>
        </w:rPr>
      </w:pPr>
    </w:p>
    <w:p w:rsidR="002D6887" w:rsidRDefault="002D6887" w:rsidP="002D6887">
      <w:pPr>
        <w:pStyle w:val="ab"/>
        <w:shd w:val="clear" w:color="auto" w:fill="FFFFFF"/>
        <w:spacing w:line="300" w:lineRule="atLeast"/>
        <w:ind w:left="1440" w:right="567"/>
        <w:jc w:val="both"/>
        <w:rPr>
          <w:rFonts w:ascii="FrankRuehl" w:hAnsi="FrankRuehl" w:cs="FrankRuehl"/>
          <w:color w:val="000000"/>
          <w:spacing w:val="10"/>
          <w:sz w:val="28"/>
          <w:szCs w:val="28"/>
        </w:rPr>
      </w:pPr>
      <w:r>
        <w:rPr>
          <w:rFonts w:ascii="FrankRuehl" w:hAnsi="FrankRuehl" w:cs="FrankRuehl"/>
          <w:color w:val="000000"/>
          <w:spacing w:val="10"/>
          <w:sz w:val="28"/>
          <w:szCs w:val="28"/>
          <w:rtl/>
        </w:rPr>
        <w:t>"מאז ראשית ימי המדינה הוכרה הזכות לשוויון בשיטתנו המשפטית כזכות יסוד מן המעלה הראשונה (ראו יצחק </w:t>
      </w:r>
      <w:r>
        <w:rPr>
          <w:rFonts w:ascii="FrankRuehl" w:hAnsi="FrankRuehl" w:cs="FrankRuehl"/>
          <w:spacing w:val="10"/>
          <w:sz w:val="28"/>
          <w:szCs w:val="28"/>
          <w:rtl/>
        </w:rPr>
        <w:t>זמיר ומשה סובל "השוויון בפני החוק"</w:t>
      </w:r>
      <w:r>
        <w:rPr>
          <w:rFonts w:ascii="FrankRuehl" w:hAnsi="FrankRuehl" w:cs="FrankRuehl"/>
          <w:color w:val="000000"/>
          <w:spacing w:val="10"/>
          <w:sz w:val="28"/>
          <w:szCs w:val="28"/>
          <w:rtl/>
        </w:rPr>
        <w:t> </w:t>
      </w:r>
      <w:r>
        <w:rPr>
          <w:rFonts w:ascii="Miriam" w:hAnsi="Miriam" w:cs="Miriam"/>
          <w:color w:val="000000"/>
          <w:spacing w:val="10"/>
          <w:rtl/>
        </w:rPr>
        <w:t>משפט וממשל</w:t>
      </w:r>
      <w:r>
        <w:rPr>
          <w:rFonts w:ascii="FrankRuehl" w:hAnsi="FrankRuehl" w:cs="FrankRuehl"/>
          <w:color w:val="000000"/>
          <w:spacing w:val="10"/>
          <w:sz w:val="28"/>
          <w:szCs w:val="28"/>
          <w:rtl/>
        </w:rPr>
        <w:t> ה 165, 166-169 (תש"ס) (להלן: </w:t>
      </w:r>
      <w:r>
        <w:rPr>
          <w:rFonts w:ascii="Miriam" w:hAnsi="Miriam" w:cs="Miriam"/>
          <w:color w:val="000000"/>
          <w:spacing w:val="10"/>
          <w:rtl/>
        </w:rPr>
        <w:t>זמיר וסובל</w:t>
      </w:r>
      <w:r>
        <w:rPr>
          <w:rFonts w:ascii="FrankRuehl" w:hAnsi="FrankRuehl" w:cs="FrankRuehl"/>
          <w:color w:val="000000"/>
          <w:spacing w:val="10"/>
          <w:sz w:val="28"/>
          <w:szCs w:val="28"/>
          <w:rtl/>
        </w:rPr>
        <w:t>)). על פי התפישה המקובלת מושג השוויון משמעו "יחס שווה אל בני-אדם, אשר אין ביניהם שוני שהוא רלוונטי לעניין נושא השוויון" (</w:t>
      </w:r>
      <w:r>
        <w:rPr>
          <w:rFonts w:ascii="FrankRuehl" w:hAnsi="FrankRuehl" w:cs="FrankRuehl"/>
          <w:spacing w:val="10"/>
          <w:sz w:val="28"/>
          <w:szCs w:val="28"/>
          <w:rtl/>
        </w:rPr>
        <w:t>בג"ץ 9863/06</w:t>
      </w:r>
      <w:r>
        <w:rPr>
          <w:rFonts w:ascii="FrankRuehl" w:hAnsi="FrankRuehl" w:cs="FrankRuehl"/>
          <w:color w:val="000000"/>
          <w:spacing w:val="10"/>
          <w:sz w:val="28"/>
          <w:szCs w:val="28"/>
          <w:rtl/>
        </w:rPr>
        <w:t> </w:t>
      </w:r>
      <w:proofErr w:type="spellStart"/>
      <w:r>
        <w:rPr>
          <w:rFonts w:ascii="Miriam" w:hAnsi="Miriam" w:cs="Miriam"/>
          <w:color w:val="000000"/>
          <w:spacing w:val="10"/>
          <w:rtl/>
        </w:rPr>
        <w:t>קר''ן</w:t>
      </w:r>
      <w:proofErr w:type="spellEnd"/>
      <w:r>
        <w:rPr>
          <w:rFonts w:ascii="Miriam" w:hAnsi="Miriam" w:cs="Miriam"/>
          <w:color w:val="000000"/>
          <w:spacing w:val="10"/>
          <w:rtl/>
        </w:rPr>
        <w:t xml:space="preserve"> - עמותת קטועי רגלים לוחמים נ' מדינת ישראל - שר הבריאות</w:t>
      </w:r>
      <w:r>
        <w:rPr>
          <w:rFonts w:ascii="FrankRuehl" w:hAnsi="FrankRuehl" w:cs="FrankRuehl"/>
          <w:color w:val="000000"/>
          <w:spacing w:val="10"/>
          <w:sz w:val="28"/>
          <w:szCs w:val="28"/>
          <w:rtl/>
        </w:rPr>
        <w:t>, פסקה 9, 28.7.2008); </w:t>
      </w:r>
      <w:r>
        <w:rPr>
          <w:rFonts w:ascii="FrankRuehl" w:hAnsi="FrankRuehl" w:cs="FrankRuehl"/>
          <w:spacing w:val="10"/>
          <w:sz w:val="28"/>
          <w:szCs w:val="28"/>
          <w:rtl/>
        </w:rPr>
        <w:t>בג"ץ 4293/01</w:t>
      </w:r>
      <w:r>
        <w:rPr>
          <w:rFonts w:ascii="FrankRuehl" w:hAnsi="FrankRuehl" w:cs="FrankRuehl"/>
          <w:color w:val="000000"/>
          <w:spacing w:val="10"/>
          <w:sz w:val="28"/>
          <w:szCs w:val="28"/>
          <w:rtl/>
        </w:rPr>
        <w:t> </w:t>
      </w:r>
      <w:r>
        <w:rPr>
          <w:rFonts w:ascii="Miriam" w:hAnsi="Miriam" w:cs="Miriam"/>
          <w:color w:val="000000"/>
          <w:spacing w:val="10"/>
          <w:rtl/>
        </w:rPr>
        <w:t>משפחה חדשה נ' שר העבודה והרווחה</w:t>
      </w:r>
      <w:r>
        <w:rPr>
          <w:rFonts w:ascii="FrankRuehl" w:hAnsi="FrankRuehl" w:cs="FrankRuehl"/>
          <w:color w:val="000000"/>
          <w:spacing w:val="10"/>
          <w:sz w:val="28"/>
          <w:szCs w:val="28"/>
          <w:rtl/>
        </w:rPr>
        <w:t xml:space="preserve">, פסקה 45 לחוות דעתה של השופטת א' </w:t>
      </w:r>
      <w:proofErr w:type="spellStart"/>
      <w:r>
        <w:rPr>
          <w:rFonts w:ascii="FrankRuehl" w:hAnsi="FrankRuehl" w:cs="FrankRuehl"/>
          <w:color w:val="000000"/>
          <w:spacing w:val="10"/>
          <w:sz w:val="28"/>
          <w:szCs w:val="28"/>
          <w:rtl/>
        </w:rPr>
        <w:t>פרוקצ'יה</w:t>
      </w:r>
      <w:proofErr w:type="spellEnd"/>
      <w:r>
        <w:rPr>
          <w:rFonts w:ascii="FrankRuehl" w:hAnsi="FrankRuehl" w:cs="FrankRuehl"/>
          <w:color w:val="000000"/>
          <w:spacing w:val="10"/>
          <w:sz w:val="28"/>
          <w:szCs w:val="28"/>
          <w:rtl/>
        </w:rPr>
        <w:t xml:space="preserve"> (24.3.2009)). הפליה פסולה קיימת על כן </w:t>
      </w:r>
      <w:r>
        <w:rPr>
          <w:rFonts w:ascii="FrankRuehl" w:hAnsi="FrankRuehl" w:cs="FrankRuehl"/>
          <w:color w:val="000000"/>
          <w:spacing w:val="10"/>
          <w:sz w:val="28"/>
          <w:szCs w:val="28"/>
          <w:rtl/>
        </w:rPr>
        <w:lastRenderedPageBreak/>
        <w:t xml:space="preserve">מקום שבו נעשית הבחנה בין אנשים או מצבים בלא שיש לכך הצדקה עניינית."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jc w:val="both"/>
        <w:rPr>
          <w:rFonts w:ascii="David" w:hAnsi="David" w:cs="David"/>
          <w:sz w:val="24"/>
          <w:szCs w:val="24"/>
        </w:rPr>
      </w:pPr>
      <w:r>
        <w:rPr>
          <w:rFonts w:ascii="David" w:hAnsi="David" w:cs="David"/>
          <w:color w:val="000000"/>
          <w:sz w:val="24"/>
          <w:szCs w:val="24"/>
          <w:rtl/>
        </w:rPr>
        <w:t xml:space="preserve">[בג"ץ 1268/09 </w:t>
      </w:r>
      <w:proofErr w:type="spellStart"/>
      <w:r>
        <w:rPr>
          <w:rFonts w:ascii="David" w:hAnsi="David" w:cs="David"/>
          <w:b/>
          <w:bCs/>
          <w:color w:val="000000"/>
          <w:sz w:val="24"/>
          <w:szCs w:val="24"/>
          <w:rtl/>
        </w:rPr>
        <w:t>זוזל</w:t>
      </w:r>
      <w:proofErr w:type="spellEnd"/>
      <w:r>
        <w:rPr>
          <w:rFonts w:ascii="David" w:hAnsi="David" w:cs="David"/>
          <w:b/>
          <w:bCs/>
          <w:color w:val="000000"/>
          <w:sz w:val="24"/>
          <w:szCs w:val="24"/>
          <w:rtl/>
        </w:rPr>
        <w:t xml:space="preserve"> נ' נציב שירות בתי הסוהר</w:t>
      </w:r>
      <w:r>
        <w:rPr>
          <w:rFonts w:ascii="David" w:hAnsi="David" w:cs="David"/>
          <w:color w:val="000000"/>
          <w:sz w:val="24"/>
          <w:szCs w:val="24"/>
          <w:rtl/>
        </w:rPr>
        <w:t xml:space="preserve">, סה(3) 688, 714 (2012); ראו גם דנ"א 1297/20 </w:t>
      </w:r>
      <w:r>
        <w:rPr>
          <w:rFonts w:ascii="David" w:hAnsi="David" w:cs="David"/>
          <w:b/>
          <w:bCs/>
          <w:color w:val="000000"/>
          <w:sz w:val="24"/>
          <w:szCs w:val="24"/>
          <w:rtl/>
        </w:rPr>
        <w:t>פלוני נ' היועץ המשפטי לממשלה</w:t>
      </w:r>
      <w:r>
        <w:rPr>
          <w:rFonts w:ascii="David" w:hAnsi="David" w:cs="David"/>
          <w:color w:val="000000"/>
          <w:sz w:val="24"/>
          <w:szCs w:val="24"/>
          <w:rtl/>
        </w:rPr>
        <w:t xml:space="preserve"> (25.7.2022, פסקה 81 לפסק דינה של כב' הנשיאה א' חיות]</w:t>
      </w:r>
    </w:p>
    <w:p w:rsidR="002D6887" w:rsidRDefault="002D6887" w:rsidP="002D6887">
      <w:pPr>
        <w:spacing w:line="360" w:lineRule="auto"/>
        <w:ind w:firstLine="84"/>
        <w:jc w:val="both"/>
        <w:rPr>
          <w:rFonts w:ascii="David" w:hAnsi="David"/>
          <w:rtl/>
        </w:rPr>
      </w:pPr>
    </w:p>
    <w:p w:rsidR="002D6887" w:rsidRDefault="002D6887" w:rsidP="002D6887">
      <w:pPr>
        <w:pStyle w:val="ae"/>
        <w:numPr>
          <w:ilvl w:val="0"/>
          <w:numId w:val="1"/>
        </w:numPr>
        <w:spacing w:after="0" w:line="360" w:lineRule="auto"/>
        <w:ind w:left="84" w:firstLine="0"/>
        <w:jc w:val="both"/>
        <w:rPr>
          <w:rFonts w:ascii="David" w:hAnsi="David" w:cs="David"/>
          <w:color w:val="000000"/>
          <w:spacing w:val="10"/>
          <w:sz w:val="24"/>
          <w:szCs w:val="24"/>
          <w:rtl/>
        </w:rPr>
      </w:pPr>
      <w:r>
        <w:rPr>
          <w:rFonts w:ascii="David" w:hAnsi="David" w:cs="David"/>
          <w:color w:val="000000"/>
          <w:spacing w:val="10"/>
          <w:sz w:val="24"/>
          <w:szCs w:val="24"/>
          <w:rtl/>
        </w:rPr>
        <w:t>עקרון השוויון ואיסור ההפליה חלים גם בין כותלי בית הסוהר. הבחנה בין אסירים צריך שתיעשה על בסיס טעם ענייני. יש לבחון האם קיימת הצדקה להבחנה בין קבוצות האסירים השונות, לצורך נורמה ספציפית או מדיניות מסוימת (</w:t>
      </w:r>
      <w:r>
        <w:rPr>
          <w:rFonts w:ascii="David" w:hAnsi="David" w:cs="David"/>
          <w:b/>
          <w:bCs/>
          <w:color w:val="000000"/>
          <w:spacing w:val="10"/>
          <w:sz w:val="24"/>
          <w:szCs w:val="24"/>
          <w:rtl/>
        </w:rPr>
        <w:t xml:space="preserve">עניין </w:t>
      </w:r>
      <w:proofErr w:type="spellStart"/>
      <w:r>
        <w:rPr>
          <w:rFonts w:ascii="David" w:hAnsi="David" w:cs="David"/>
          <w:b/>
          <w:bCs/>
          <w:color w:val="000000"/>
          <w:spacing w:val="10"/>
          <w:sz w:val="24"/>
          <w:szCs w:val="24"/>
          <w:rtl/>
        </w:rPr>
        <w:t>צלאח</w:t>
      </w:r>
      <w:proofErr w:type="spellEnd"/>
      <w:r>
        <w:rPr>
          <w:rFonts w:ascii="David" w:hAnsi="David" w:cs="David"/>
          <w:color w:val="000000"/>
          <w:spacing w:val="10"/>
          <w:sz w:val="24"/>
          <w:szCs w:val="24"/>
          <w:rtl/>
        </w:rPr>
        <w:t>, פסקאות 15 ו-16 לפסק דינה של כב' הנשיאה מ' נאור).</w:t>
      </w:r>
    </w:p>
    <w:p w:rsidR="002D6887" w:rsidRDefault="002D6887" w:rsidP="002D6887">
      <w:pPr>
        <w:spacing w:line="360" w:lineRule="auto"/>
        <w:ind w:firstLine="84"/>
        <w:jc w:val="both"/>
        <w:rPr>
          <w:rFonts w:ascii="David" w:hAnsi="David"/>
          <w:rtl/>
        </w:rPr>
      </w:pPr>
    </w:p>
    <w:p w:rsidR="002D6887" w:rsidRDefault="002D6887" w:rsidP="002D6887">
      <w:pPr>
        <w:pStyle w:val="ae"/>
        <w:numPr>
          <w:ilvl w:val="0"/>
          <w:numId w:val="1"/>
        </w:numPr>
        <w:spacing w:after="0" w:line="360" w:lineRule="auto"/>
        <w:ind w:left="84" w:firstLine="0"/>
        <w:jc w:val="both"/>
        <w:rPr>
          <w:rFonts w:ascii="David" w:hAnsi="David" w:cs="David"/>
          <w:color w:val="000000"/>
          <w:spacing w:val="10"/>
          <w:sz w:val="24"/>
          <w:szCs w:val="24"/>
          <w:rtl/>
        </w:rPr>
      </w:pPr>
      <w:r>
        <w:rPr>
          <w:rFonts w:ascii="David" w:hAnsi="David" w:cs="David"/>
          <w:color w:val="000000"/>
          <w:spacing w:val="10"/>
          <w:sz w:val="24"/>
          <w:szCs w:val="24"/>
          <w:rtl/>
        </w:rPr>
        <w:t xml:space="preserve">הוראות הפקודה </w:t>
      </w:r>
      <w:r>
        <w:rPr>
          <w:rFonts w:ascii="David" w:hAnsi="David" w:cs="David"/>
          <w:color w:val="000000"/>
          <w:spacing w:val="10"/>
          <w:sz w:val="24"/>
          <w:szCs w:val="24"/>
          <w:u w:val="single"/>
          <w:rtl/>
        </w:rPr>
        <w:t>שוללות קטגורית</w:t>
      </w:r>
      <w:r>
        <w:rPr>
          <w:rFonts w:ascii="David" w:hAnsi="David" w:cs="David"/>
          <w:color w:val="000000"/>
          <w:spacing w:val="10"/>
          <w:sz w:val="24"/>
          <w:szCs w:val="24"/>
          <w:rtl/>
        </w:rPr>
        <w:t xml:space="preserve"> מתן חופשה "רגילה" לאסירים תושבי הרשות הפלסטינית, וכן לאוכלוסיות אסירים מיוחדות נוספות: אסיר ביטחוני, אסיר שפוט למאסר עולם שעונשו לא נקצב (וכן חופשה ראשונה של אסיר עולם שעונשו נקצב וחידוש יציאתו לחופשה של אסיר עולם לאחר שהופסקו), אסיר המוחזק מכוח צו הרחקה או צו הסגרה, אסיר אזרחי ואסיר המסווג לקטגוריה א' שהוגדר כחבר בארגון פשיעה. </w:t>
      </w:r>
    </w:p>
    <w:p w:rsidR="002D6887" w:rsidRDefault="002D6887" w:rsidP="002D6887">
      <w:pPr>
        <w:pStyle w:val="ae"/>
        <w:rPr>
          <w:rFonts w:ascii="David" w:hAnsi="David" w:cs="David"/>
          <w:color w:val="000000"/>
          <w:spacing w:val="10"/>
          <w:sz w:val="24"/>
          <w:szCs w:val="24"/>
          <w:rtl/>
        </w:rPr>
      </w:pPr>
    </w:p>
    <w:p w:rsidR="002D6887" w:rsidRDefault="002D6887" w:rsidP="002D6887">
      <w:pPr>
        <w:pStyle w:val="ae"/>
        <w:spacing w:after="0" w:line="360" w:lineRule="auto"/>
        <w:ind w:left="84" w:firstLine="636"/>
        <w:jc w:val="both"/>
        <w:rPr>
          <w:rFonts w:ascii="David" w:hAnsi="David" w:cs="David"/>
          <w:color w:val="000000"/>
          <w:spacing w:val="10"/>
          <w:sz w:val="24"/>
          <w:szCs w:val="24"/>
        </w:rPr>
      </w:pPr>
      <w:r>
        <w:rPr>
          <w:rFonts w:ascii="David" w:hAnsi="David" w:cs="David"/>
          <w:color w:val="000000"/>
          <w:spacing w:val="10"/>
          <w:sz w:val="24"/>
          <w:szCs w:val="24"/>
          <w:rtl/>
        </w:rPr>
        <w:t xml:space="preserve">הוראות הפקודה </w:t>
      </w:r>
      <w:r>
        <w:rPr>
          <w:rFonts w:ascii="David" w:hAnsi="David" w:cs="David"/>
          <w:color w:val="000000"/>
          <w:spacing w:val="10"/>
          <w:sz w:val="24"/>
          <w:szCs w:val="24"/>
          <w:u w:val="single"/>
          <w:rtl/>
        </w:rPr>
        <w:t>מגבילות</w:t>
      </w:r>
      <w:r>
        <w:rPr>
          <w:rFonts w:ascii="David" w:hAnsi="David" w:cs="David"/>
          <w:color w:val="000000"/>
          <w:spacing w:val="10"/>
          <w:sz w:val="24"/>
          <w:szCs w:val="24"/>
          <w:rtl/>
        </w:rPr>
        <w:t>, או מתנות בתנאים, מתן חופשה רגילה גם לאסירים המשתייכים לקטגוריות נוספות: אסיר תושב חוץ, אסיר שפוט או חשוד בביצוע עבירות אלימות במשפחה, אסיר השפוט על עבירות מין, אסיר המקבל תחליפי סם, אסיר מאושפז, אסיר חולה ועוד.</w:t>
      </w:r>
    </w:p>
    <w:p w:rsidR="002D6887" w:rsidRDefault="002D6887" w:rsidP="002D6887">
      <w:pPr>
        <w:pStyle w:val="ae"/>
        <w:spacing w:after="0" w:line="360" w:lineRule="auto"/>
        <w:ind w:left="84"/>
        <w:jc w:val="both"/>
        <w:rPr>
          <w:rFonts w:ascii="David" w:hAnsi="David" w:cs="David"/>
          <w:color w:val="000000"/>
          <w:spacing w:val="10"/>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color w:val="000000"/>
          <w:spacing w:val="10"/>
          <w:sz w:val="24"/>
          <w:szCs w:val="24"/>
        </w:rPr>
      </w:pPr>
      <w:r>
        <w:rPr>
          <w:rFonts w:ascii="David" w:hAnsi="David" w:cs="David"/>
          <w:color w:val="000000"/>
          <w:spacing w:val="10"/>
          <w:sz w:val="24"/>
          <w:szCs w:val="24"/>
          <w:rtl/>
        </w:rPr>
        <w:t xml:space="preserve">דיון ממצה בהסדרים שנקבעו ביחס לאוכלוסיות האסירים האחרות חורג כמובן מן הדרוש להכרעה בפסק דין זה, אך יושם אל לב כי השתייכות האסיר לכמעט כל אחת מן הקבוצות תלויה, במידה זו או אחרת, בהתנהגותו. כך, למשל, </w:t>
      </w:r>
      <w:proofErr w:type="spellStart"/>
      <w:r>
        <w:rPr>
          <w:rFonts w:ascii="David" w:hAnsi="David" w:cs="David"/>
          <w:color w:val="000000"/>
          <w:spacing w:val="10"/>
          <w:sz w:val="24"/>
          <w:szCs w:val="24"/>
          <w:rtl/>
        </w:rPr>
        <w:t>קציבת</w:t>
      </w:r>
      <w:proofErr w:type="spellEnd"/>
      <w:r>
        <w:rPr>
          <w:rFonts w:ascii="David" w:hAnsi="David" w:cs="David"/>
          <w:color w:val="000000"/>
          <w:spacing w:val="10"/>
          <w:sz w:val="24"/>
          <w:szCs w:val="24"/>
          <w:rtl/>
        </w:rPr>
        <w:t xml:space="preserve"> עונשו של אסיר עולם מושפעת במידה מכרעת מהתנהגותו, ואפילו אסיר שהוגדר אסיר ביטחוני, או חבר בארגון פשיעה, יכול לנתק עצמו מאותה קבוצה ולעשות לשינוי סיווגו באופן שיבטל את המניעה המוחלטת על הוצאתו לחופשה. </w:t>
      </w:r>
    </w:p>
    <w:p w:rsidR="002D6887" w:rsidRDefault="002D6887" w:rsidP="002D6887">
      <w:pPr>
        <w:spacing w:line="360" w:lineRule="auto"/>
        <w:jc w:val="both"/>
        <w:rPr>
          <w:rFonts w:ascii="David" w:hAnsi="David"/>
          <w:color w:val="000000"/>
          <w:spacing w:val="10"/>
          <w:rtl/>
        </w:rPr>
      </w:pPr>
    </w:p>
    <w:p w:rsidR="002D6887" w:rsidRDefault="002D6887" w:rsidP="002D6887">
      <w:pPr>
        <w:pStyle w:val="ae"/>
        <w:spacing w:after="0" w:line="360" w:lineRule="auto"/>
        <w:ind w:left="84" w:firstLine="636"/>
        <w:jc w:val="both"/>
        <w:rPr>
          <w:rFonts w:ascii="David" w:hAnsi="David" w:cs="David"/>
          <w:color w:val="000000"/>
          <w:spacing w:val="10"/>
          <w:sz w:val="24"/>
          <w:szCs w:val="24"/>
        </w:rPr>
      </w:pPr>
      <w:r>
        <w:rPr>
          <w:rFonts w:ascii="David" w:hAnsi="David" w:cs="David"/>
          <w:color w:val="000000"/>
          <w:spacing w:val="10"/>
          <w:sz w:val="24"/>
          <w:szCs w:val="24"/>
          <w:rtl/>
        </w:rPr>
        <w:t xml:space="preserve">זאת ועוד, ברוב המקרים השתייכות האסיר לקבוצה המיוחדת אינה שוללת ממנו באופן גורף את האפשרות לצאת לחופשה, וישנם חריגים: כך אסיר תושב חוץ יכול לבקש לצאת לחופשה אם מסר כתובת לשהייה בתחומי ישראל ונמצא אזרח ותושב ישראל שהסכים לערוב לו; ועדת </w:t>
      </w:r>
      <w:proofErr w:type="spellStart"/>
      <w:r>
        <w:rPr>
          <w:rFonts w:ascii="David" w:hAnsi="David" w:cs="David"/>
          <w:color w:val="000000"/>
          <w:spacing w:val="10"/>
          <w:sz w:val="24"/>
          <w:szCs w:val="24"/>
          <w:rtl/>
        </w:rPr>
        <w:t>אלמ"ב</w:t>
      </w:r>
      <w:proofErr w:type="spellEnd"/>
      <w:r>
        <w:rPr>
          <w:rFonts w:ascii="David" w:hAnsi="David" w:cs="David"/>
          <w:color w:val="000000"/>
          <w:spacing w:val="10"/>
          <w:sz w:val="24"/>
          <w:szCs w:val="24"/>
          <w:rtl/>
        </w:rPr>
        <w:t xml:space="preserve"> או הוועדה להערכת מסוכנות יכולות להמליץ על מתן חופשה לאסיר </w:t>
      </w:r>
      <w:proofErr w:type="spellStart"/>
      <w:r>
        <w:rPr>
          <w:rFonts w:ascii="David" w:hAnsi="David" w:cs="David"/>
          <w:color w:val="000000"/>
          <w:spacing w:val="10"/>
          <w:sz w:val="24"/>
          <w:szCs w:val="24"/>
          <w:rtl/>
        </w:rPr>
        <w:t>אלמ"ב</w:t>
      </w:r>
      <w:proofErr w:type="spellEnd"/>
      <w:r>
        <w:rPr>
          <w:rFonts w:ascii="David" w:hAnsi="David" w:cs="David"/>
          <w:color w:val="000000"/>
          <w:spacing w:val="10"/>
          <w:sz w:val="24"/>
          <w:szCs w:val="24"/>
          <w:rtl/>
        </w:rPr>
        <w:t xml:space="preserve">; </w:t>
      </w:r>
      <w:proofErr w:type="spellStart"/>
      <w:r>
        <w:rPr>
          <w:rFonts w:ascii="David" w:hAnsi="David" w:cs="David"/>
          <w:color w:val="000000"/>
          <w:spacing w:val="10"/>
          <w:sz w:val="24"/>
          <w:szCs w:val="24"/>
          <w:rtl/>
        </w:rPr>
        <w:t>ומב"ן</w:t>
      </w:r>
      <w:proofErr w:type="spellEnd"/>
      <w:r>
        <w:rPr>
          <w:rFonts w:ascii="David" w:hAnsi="David" w:cs="David"/>
          <w:color w:val="000000"/>
          <w:spacing w:val="10"/>
          <w:sz w:val="24"/>
          <w:szCs w:val="24"/>
          <w:rtl/>
        </w:rPr>
        <w:t xml:space="preserve"> או וג"ע יכולות להמליץ על מתן חופשה לאסיר בעבירת מין.</w:t>
      </w:r>
    </w:p>
    <w:p w:rsidR="002D6887" w:rsidRDefault="002D6887" w:rsidP="002D6887">
      <w:pPr>
        <w:pStyle w:val="ae"/>
        <w:spacing w:after="0" w:line="360" w:lineRule="auto"/>
        <w:ind w:left="84" w:firstLine="636"/>
        <w:jc w:val="both"/>
        <w:rPr>
          <w:rFonts w:ascii="David" w:hAnsi="David" w:cs="David"/>
          <w:color w:val="000000"/>
          <w:spacing w:val="10"/>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color w:val="000000"/>
          <w:spacing w:val="10"/>
          <w:sz w:val="24"/>
          <w:szCs w:val="24"/>
          <w:rtl/>
        </w:rPr>
      </w:pPr>
      <w:r>
        <w:rPr>
          <w:rFonts w:ascii="David" w:hAnsi="David" w:cs="David"/>
          <w:color w:val="000000"/>
          <w:spacing w:val="10"/>
          <w:sz w:val="24"/>
          <w:szCs w:val="24"/>
          <w:rtl/>
        </w:rPr>
        <w:lastRenderedPageBreak/>
        <w:t>לעומת כל אלה, אסיר שנולד בתחומי הרשות הפלסטינית ולא קיבל תושבות ישראלית – לא יכול לצאת מן הקטגוריה המגבילה (אינני סבור כי טענת המשיבים, לפיה ביכולתו של אסיר כזה להינשא לישראלית ולזכות בתושבות, ראויה להתייחסות רצינית), ואין בנמצא בעניינו חריגים כלשהם.</w:t>
      </w:r>
    </w:p>
    <w:p w:rsidR="002D6887" w:rsidRDefault="002D6887" w:rsidP="002D6887">
      <w:pPr>
        <w:pStyle w:val="ae"/>
        <w:spacing w:after="0" w:line="360" w:lineRule="auto"/>
        <w:ind w:left="84" w:firstLine="636"/>
        <w:jc w:val="both"/>
        <w:rPr>
          <w:rFonts w:ascii="David" w:hAnsi="David" w:cs="David"/>
          <w:color w:val="000000"/>
          <w:spacing w:val="10"/>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color w:val="000000"/>
          <w:spacing w:val="10"/>
          <w:sz w:val="24"/>
          <w:szCs w:val="24"/>
        </w:rPr>
      </w:pPr>
      <w:r>
        <w:rPr>
          <w:rFonts w:ascii="David" w:hAnsi="David" w:cs="David"/>
          <w:color w:val="000000"/>
          <w:spacing w:val="10"/>
          <w:sz w:val="24"/>
          <w:szCs w:val="24"/>
          <w:rtl/>
        </w:rPr>
        <w:t xml:space="preserve">על השאלה אם מוצדק לשלול מתן חופשה "רגילה" </w:t>
      </w:r>
      <w:r>
        <w:rPr>
          <w:rFonts w:ascii="David" w:hAnsi="David" w:cs="David"/>
          <w:color w:val="000000"/>
          <w:spacing w:val="10"/>
          <w:sz w:val="24"/>
          <w:szCs w:val="24"/>
          <w:u w:val="single"/>
          <w:rtl/>
        </w:rPr>
        <w:t>לאסירים ביטחוניים</w:t>
      </w:r>
      <w:r>
        <w:rPr>
          <w:rFonts w:ascii="David" w:hAnsi="David" w:cs="David"/>
          <w:color w:val="000000"/>
          <w:spacing w:val="10"/>
          <w:sz w:val="24"/>
          <w:szCs w:val="24"/>
          <w:rtl/>
        </w:rPr>
        <w:t xml:space="preserve">, בהתאם להוראות הפקודה לאחר תיקון 2015, השיב בית המשפט העליון בחיוב בעניין </w:t>
      </w:r>
      <w:r>
        <w:rPr>
          <w:rFonts w:ascii="David" w:hAnsi="David" w:cs="David"/>
          <w:b/>
          <w:bCs/>
          <w:color w:val="000000"/>
          <w:spacing w:val="10"/>
          <w:sz w:val="24"/>
          <w:szCs w:val="24"/>
          <w:rtl/>
        </w:rPr>
        <w:t xml:space="preserve">אבו </w:t>
      </w:r>
      <w:proofErr w:type="spellStart"/>
      <w:r>
        <w:rPr>
          <w:rFonts w:ascii="David" w:hAnsi="David" w:cs="David"/>
          <w:b/>
          <w:bCs/>
          <w:color w:val="000000"/>
          <w:spacing w:val="10"/>
          <w:sz w:val="24"/>
          <w:szCs w:val="24"/>
          <w:rtl/>
        </w:rPr>
        <w:t>צעלוק</w:t>
      </w:r>
      <w:proofErr w:type="spellEnd"/>
      <w:r>
        <w:rPr>
          <w:rFonts w:ascii="David" w:hAnsi="David" w:cs="David"/>
          <w:color w:val="000000"/>
          <w:spacing w:val="10"/>
          <w:sz w:val="24"/>
          <w:szCs w:val="24"/>
          <w:rtl/>
        </w:rPr>
        <w:t xml:space="preserve"> (בדעת רוב – נגד דעתו החולקת של כב' השופט מ' מזוז). </w:t>
      </w:r>
    </w:p>
    <w:p w:rsidR="002D6887" w:rsidRDefault="002D6887" w:rsidP="002D6887">
      <w:pPr>
        <w:pStyle w:val="ae"/>
        <w:spacing w:after="0" w:line="360" w:lineRule="auto"/>
        <w:ind w:left="84"/>
        <w:jc w:val="both"/>
        <w:rPr>
          <w:rFonts w:ascii="David" w:hAnsi="David" w:cs="David"/>
          <w:color w:val="000000"/>
          <w:spacing w:val="10"/>
          <w:sz w:val="24"/>
          <w:szCs w:val="24"/>
          <w:rtl/>
        </w:rPr>
      </w:pPr>
    </w:p>
    <w:p w:rsidR="002D6887" w:rsidRDefault="002D6887" w:rsidP="002D6887">
      <w:pPr>
        <w:pStyle w:val="ae"/>
        <w:spacing w:after="0" w:line="360" w:lineRule="auto"/>
        <w:ind w:left="84" w:firstLine="636"/>
        <w:jc w:val="both"/>
        <w:rPr>
          <w:rFonts w:ascii="David" w:hAnsi="David" w:cs="David"/>
          <w:color w:val="000000"/>
          <w:spacing w:val="10"/>
          <w:sz w:val="24"/>
          <w:szCs w:val="24"/>
        </w:rPr>
      </w:pPr>
      <w:r>
        <w:rPr>
          <w:rFonts w:ascii="David" w:hAnsi="David" w:cs="David"/>
          <w:color w:val="000000"/>
          <w:spacing w:val="10"/>
          <w:sz w:val="24"/>
          <w:szCs w:val="24"/>
          <w:rtl/>
        </w:rPr>
        <w:t xml:space="preserve">ברם, נקודת המוצא להכרעת הרוב בעניין </w:t>
      </w:r>
      <w:r>
        <w:rPr>
          <w:rFonts w:ascii="David" w:hAnsi="David" w:cs="David"/>
          <w:b/>
          <w:bCs/>
          <w:color w:val="000000"/>
          <w:spacing w:val="10"/>
          <w:sz w:val="24"/>
          <w:szCs w:val="24"/>
          <w:rtl/>
        </w:rPr>
        <w:t>אבו-</w:t>
      </w:r>
      <w:proofErr w:type="spellStart"/>
      <w:r>
        <w:rPr>
          <w:rFonts w:ascii="David" w:hAnsi="David" w:cs="David"/>
          <w:b/>
          <w:bCs/>
          <w:color w:val="000000"/>
          <w:spacing w:val="10"/>
          <w:sz w:val="24"/>
          <w:szCs w:val="24"/>
          <w:rtl/>
        </w:rPr>
        <w:t>צעלוק</w:t>
      </w:r>
      <w:proofErr w:type="spellEnd"/>
      <w:r>
        <w:rPr>
          <w:rFonts w:ascii="David" w:hAnsi="David" w:cs="David"/>
          <w:color w:val="000000"/>
          <w:spacing w:val="10"/>
          <w:sz w:val="24"/>
          <w:szCs w:val="24"/>
          <w:rtl/>
        </w:rPr>
        <w:t xml:space="preserve"> הייתה קיומה של פקודת נציבות נפרדת לאסירים ביטחוניים (פקודה מס' 03.02.00 – "כללים ביחס לאסירים ביטחוניים") ופסיקתו העקבית של בית המשפט העליון שאישרה מגבלות קבוצתיות שהוטלו על ידי שב"ס על אוכלוסיית אסירים זו (עניין </w:t>
      </w:r>
      <w:proofErr w:type="spellStart"/>
      <w:r>
        <w:rPr>
          <w:rFonts w:ascii="David" w:hAnsi="David" w:cs="David"/>
          <w:b/>
          <w:bCs/>
          <w:color w:val="000000"/>
          <w:spacing w:val="10"/>
          <w:sz w:val="24"/>
          <w:szCs w:val="24"/>
          <w:rtl/>
        </w:rPr>
        <w:t>צאלח</w:t>
      </w:r>
      <w:proofErr w:type="spellEnd"/>
      <w:r>
        <w:rPr>
          <w:rFonts w:ascii="David" w:hAnsi="David" w:cs="David"/>
          <w:color w:val="000000"/>
          <w:spacing w:val="10"/>
          <w:sz w:val="24"/>
          <w:szCs w:val="24"/>
          <w:rtl/>
        </w:rPr>
        <w:t xml:space="preserve">, עניין </w:t>
      </w:r>
      <w:r>
        <w:rPr>
          <w:rFonts w:ascii="David" w:hAnsi="David" w:cs="David"/>
          <w:b/>
          <w:bCs/>
          <w:color w:val="000000"/>
          <w:spacing w:val="10"/>
          <w:sz w:val="24"/>
          <w:szCs w:val="24"/>
          <w:rtl/>
        </w:rPr>
        <w:t>יונס</w:t>
      </w:r>
      <w:r>
        <w:rPr>
          <w:rFonts w:ascii="David" w:hAnsi="David" w:cs="David"/>
          <w:color w:val="000000"/>
          <w:spacing w:val="10"/>
          <w:sz w:val="24"/>
          <w:szCs w:val="24"/>
          <w:rtl/>
        </w:rPr>
        <w:t xml:space="preserve">, רע"ב 6797/03 </w:t>
      </w:r>
      <w:r>
        <w:rPr>
          <w:rFonts w:ascii="David" w:hAnsi="David" w:cs="David"/>
          <w:b/>
          <w:bCs/>
          <w:color w:val="000000"/>
          <w:spacing w:val="10"/>
          <w:sz w:val="24"/>
          <w:szCs w:val="24"/>
          <w:rtl/>
        </w:rPr>
        <w:t xml:space="preserve">מדינת ישראל נ' </w:t>
      </w:r>
      <w:proofErr w:type="spellStart"/>
      <w:r>
        <w:rPr>
          <w:rFonts w:ascii="David" w:hAnsi="David" w:cs="David"/>
          <w:b/>
          <w:bCs/>
          <w:color w:val="000000"/>
          <w:spacing w:val="10"/>
          <w:sz w:val="24"/>
          <w:szCs w:val="24"/>
          <w:rtl/>
        </w:rPr>
        <w:t>אלראזק</w:t>
      </w:r>
      <w:proofErr w:type="spellEnd"/>
      <w:r>
        <w:rPr>
          <w:rFonts w:ascii="David" w:hAnsi="David" w:cs="David"/>
          <w:color w:val="000000"/>
          <w:spacing w:val="10"/>
          <w:sz w:val="24"/>
          <w:szCs w:val="24"/>
          <w:rtl/>
        </w:rPr>
        <w:t xml:space="preserve"> (2.11.2003), </w:t>
      </w:r>
      <w:proofErr w:type="spellStart"/>
      <w:r>
        <w:rPr>
          <w:rFonts w:ascii="David" w:hAnsi="David" w:cs="David"/>
          <w:color w:val="000000"/>
          <w:spacing w:val="10"/>
          <w:sz w:val="24"/>
          <w:szCs w:val="24"/>
          <w:rtl/>
        </w:rPr>
        <w:t>עע"א</w:t>
      </w:r>
      <w:proofErr w:type="spellEnd"/>
      <w:r>
        <w:rPr>
          <w:rFonts w:ascii="David" w:hAnsi="David" w:cs="David"/>
          <w:color w:val="000000"/>
          <w:spacing w:val="10"/>
          <w:sz w:val="24"/>
          <w:szCs w:val="24"/>
          <w:rtl/>
        </w:rPr>
        <w:t xml:space="preserve"> 1076/95 </w:t>
      </w:r>
      <w:r>
        <w:rPr>
          <w:rFonts w:ascii="David" w:hAnsi="David" w:cs="David"/>
          <w:b/>
          <w:bCs/>
          <w:color w:val="000000"/>
          <w:spacing w:val="10"/>
          <w:sz w:val="24"/>
          <w:szCs w:val="24"/>
          <w:rtl/>
        </w:rPr>
        <w:t xml:space="preserve">מדינת ישראל נ' </w:t>
      </w:r>
      <w:proofErr w:type="spellStart"/>
      <w:r>
        <w:rPr>
          <w:rFonts w:ascii="David" w:hAnsi="David" w:cs="David"/>
          <w:b/>
          <w:bCs/>
          <w:color w:val="000000"/>
          <w:spacing w:val="10"/>
          <w:sz w:val="24"/>
          <w:szCs w:val="24"/>
          <w:rtl/>
        </w:rPr>
        <w:t>קונטאר</w:t>
      </w:r>
      <w:proofErr w:type="spellEnd"/>
      <w:r>
        <w:rPr>
          <w:rFonts w:ascii="David" w:hAnsi="David" w:cs="David"/>
          <w:color w:val="000000"/>
          <w:spacing w:val="10"/>
          <w:sz w:val="24"/>
          <w:szCs w:val="24"/>
          <w:rtl/>
        </w:rPr>
        <w:t xml:space="preserve">, פ"ד נ(4) 492 (1996) (להלן: </w:t>
      </w:r>
      <w:r>
        <w:rPr>
          <w:rFonts w:ascii="Miriam" w:hAnsi="Miriam" w:cs="Miriam"/>
          <w:b/>
          <w:bCs/>
          <w:color w:val="000000"/>
          <w:spacing w:val="10"/>
          <w:sz w:val="24"/>
          <w:szCs w:val="24"/>
          <w:rtl/>
        </w:rPr>
        <w:t xml:space="preserve">עניין </w:t>
      </w:r>
      <w:proofErr w:type="spellStart"/>
      <w:r>
        <w:rPr>
          <w:rFonts w:ascii="Miriam" w:hAnsi="Miriam" w:cs="Miriam"/>
          <w:b/>
          <w:bCs/>
          <w:color w:val="000000"/>
          <w:spacing w:val="10"/>
          <w:sz w:val="24"/>
          <w:szCs w:val="24"/>
          <w:rtl/>
        </w:rPr>
        <w:t>קונטאר</w:t>
      </w:r>
      <w:proofErr w:type="spellEnd"/>
      <w:r>
        <w:rPr>
          <w:rFonts w:ascii="David" w:hAnsi="David" w:cs="David"/>
          <w:color w:val="000000"/>
          <w:spacing w:val="10"/>
          <w:sz w:val="24"/>
          <w:szCs w:val="24"/>
          <w:rtl/>
        </w:rPr>
        <w:t xml:space="preserve">), </w:t>
      </w:r>
      <w:proofErr w:type="spellStart"/>
      <w:r>
        <w:rPr>
          <w:rFonts w:ascii="David" w:hAnsi="David" w:cs="David"/>
          <w:color w:val="000000"/>
          <w:spacing w:val="10"/>
          <w:sz w:val="24"/>
          <w:szCs w:val="24"/>
          <w:rtl/>
        </w:rPr>
        <w:t>עע"א</w:t>
      </w:r>
      <w:proofErr w:type="spellEnd"/>
      <w:r>
        <w:rPr>
          <w:rFonts w:ascii="David" w:hAnsi="David" w:cs="David"/>
          <w:color w:val="000000"/>
          <w:spacing w:val="10"/>
          <w:sz w:val="24"/>
          <w:szCs w:val="24"/>
          <w:rtl/>
        </w:rPr>
        <w:t xml:space="preserve"> 4714/04 </w:t>
      </w:r>
      <w:r>
        <w:rPr>
          <w:rFonts w:ascii="David" w:hAnsi="David" w:cs="David"/>
          <w:b/>
          <w:bCs/>
          <w:color w:val="000000"/>
          <w:spacing w:val="10"/>
          <w:sz w:val="24"/>
          <w:szCs w:val="24"/>
          <w:rtl/>
        </w:rPr>
        <w:t>עמיר נ' שירות בתי הסוהר</w:t>
      </w:r>
      <w:r>
        <w:rPr>
          <w:rFonts w:ascii="David" w:hAnsi="David" w:cs="David"/>
          <w:color w:val="000000"/>
          <w:spacing w:val="10"/>
          <w:sz w:val="24"/>
          <w:szCs w:val="24"/>
          <w:rtl/>
        </w:rPr>
        <w:t xml:space="preserve"> (7.3.2005) ועוד).</w:t>
      </w:r>
    </w:p>
    <w:p w:rsidR="002D6887" w:rsidRDefault="002D6887" w:rsidP="002D6887">
      <w:pPr>
        <w:pStyle w:val="ae"/>
        <w:spacing w:after="0" w:line="360" w:lineRule="auto"/>
        <w:ind w:left="84" w:firstLine="636"/>
        <w:jc w:val="both"/>
        <w:rPr>
          <w:rFonts w:ascii="David" w:hAnsi="David" w:cs="David"/>
          <w:color w:val="000000"/>
          <w:spacing w:val="10"/>
          <w:sz w:val="24"/>
          <w:szCs w:val="24"/>
          <w:rtl/>
        </w:rPr>
      </w:pPr>
    </w:p>
    <w:p w:rsidR="002D6887" w:rsidRDefault="002D6887" w:rsidP="002D6887">
      <w:pPr>
        <w:pStyle w:val="ae"/>
        <w:spacing w:after="0" w:line="360" w:lineRule="auto"/>
        <w:ind w:left="84" w:firstLine="636"/>
        <w:jc w:val="both"/>
        <w:rPr>
          <w:rFonts w:ascii="David" w:hAnsi="David" w:cs="David"/>
          <w:color w:val="000000"/>
          <w:spacing w:val="10"/>
          <w:sz w:val="24"/>
          <w:szCs w:val="24"/>
          <w:rtl/>
        </w:rPr>
      </w:pPr>
      <w:r>
        <w:rPr>
          <w:rFonts w:ascii="David" w:hAnsi="David" w:cs="David"/>
          <w:color w:val="000000"/>
          <w:spacing w:val="10"/>
          <w:sz w:val="24"/>
          <w:szCs w:val="24"/>
          <w:rtl/>
        </w:rPr>
        <w:t xml:space="preserve">בנוסף, ההוראה המגבילה צלחה את מבחני המשנה של המידתיות רק לאור העובדה כי שב"ס הותיר פתח ליציאת אסירים ביטחוניים לחופשה "רגילה", בכפוף לשינוי סיווג האסיר (עניין </w:t>
      </w:r>
      <w:r>
        <w:rPr>
          <w:rFonts w:ascii="David" w:hAnsi="David" w:cs="David"/>
          <w:b/>
          <w:bCs/>
          <w:color w:val="000000"/>
          <w:spacing w:val="10"/>
          <w:sz w:val="24"/>
          <w:szCs w:val="24"/>
          <w:rtl/>
        </w:rPr>
        <w:t>אבו-</w:t>
      </w:r>
      <w:proofErr w:type="spellStart"/>
      <w:r>
        <w:rPr>
          <w:rFonts w:ascii="David" w:hAnsi="David" w:cs="David"/>
          <w:b/>
          <w:bCs/>
          <w:color w:val="000000"/>
          <w:spacing w:val="10"/>
          <w:sz w:val="24"/>
          <w:szCs w:val="24"/>
          <w:rtl/>
        </w:rPr>
        <w:t>צעלוק</w:t>
      </w:r>
      <w:proofErr w:type="spellEnd"/>
      <w:r>
        <w:rPr>
          <w:rFonts w:ascii="David" w:hAnsi="David" w:cs="David"/>
          <w:color w:val="000000"/>
          <w:spacing w:val="10"/>
          <w:sz w:val="24"/>
          <w:szCs w:val="24"/>
          <w:rtl/>
        </w:rPr>
        <w:t xml:space="preserve">, פסקה 54 לפסק דינו של כב' המשנה לנשיאה ח' מלצר). </w:t>
      </w:r>
    </w:p>
    <w:p w:rsidR="002D6887" w:rsidRDefault="002D6887" w:rsidP="002D6887">
      <w:pPr>
        <w:pStyle w:val="ad"/>
        <w:rPr>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המשיבים טוענים כי קיימת הצדקה להבחין בין אסירים תושבי הרשות הפלסטינית לבין יתר האסירים, מן הטעם שטבועה בהם מסוכנות אינהרנטית, הנובעת מעצם העובדה שהם אינם בעלי זכות חוקית לשהות בישראל, ובמהלך החופשה יותר להם האפשרות לנוע במרחבי ישראל באופן שעלול להביא לסיוע לארגוני טרור. עוד צוין כי יכולתם של אסירים כאלה לברוח לשטחי הרשות הפלסטינית קלה ומוגברת יותר, ונאמנותם אינה נתונה בהכרח למדינת ישראל.</w:t>
      </w:r>
    </w:p>
    <w:p w:rsidR="002D6887" w:rsidRDefault="002D6887" w:rsidP="002D6887">
      <w:pPr>
        <w:pStyle w:val="ae"/>
        <w:spacing w:after="0" w:line="360" w:lineRule="auto"/>
        <w:ind w:left="84"/>
        <w:jc w:val="both"/>
        <w:rPr>
          <w:rFonts w:ascii="David" w:hAnsi="David" w:cs="David"/>
          <w:sz w:val="24"/>
          <w:szCs w:val="24"/>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 xml:space="preserve">המשיבים סבורים כי בקביעת הסדר גורף בעניינם של אסירים תושבי הרשות הפלסטינית פעלו הם כדין, כפי שנעשה זה מכבר בעניינם של האסירים הביטחוניים.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אינני סבור כי טענת המשיבים עומדת בפני הביקורת.</w:t>
      </w:r>
    </w:p>
    <w:p w:rsidR="002D6887" w:rsidRDefault="002D6887" w:rsidP="002D6887">
      <w:pPr>
        <w:pStyle w:val="ae"/>
        <w:spacing w:after="0" w:line="360" w:lineRule="auto"/>
        <w:ind w:left="84"/>
        <w:jc w:val="both"/>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בית המשפט העליון הכיר לאורך השנים בכך שיש לקבוע הסדרים מיוחדים, חלקם גורפים, לגבי אסירים ביטחוניים מן הטעמים הבאים [עניין </w:t>
      </w:r>
      <w:proofErr w:type="spellStart"/>
      <w:r>
        <w:rPr>
          <w:rFonts w:ascii="David" w:hAnsi="David" w:cs="David"/>
          <w:b/>
          <w:bCs/>
          <w:sz w:val="24"/>
          <w:szCs w:val="24"/>
          <w:rtl/>
        </w:rPr>
        <w:t>קונטאר</w:t>
      </w:r>
      <w:proofErr w:type="spellEnd"/>
      <w:r>
        <w:rPr>
          <w:rFonts w:ascii="David" w:hAnsi="David" w:cs="David"/>
          <w:sz w:val="24"/>
          <w:szCs w:val="24"/>
          <w:rtl/>
        </w:rPr>
        <w:t>, עמ' 500):</w:t>
      </w:r>
    </w:p>
    <w:p w:rsidR="002D6887" w:rsidRDefault="002D6887" w:rsidP="002D6887">
      <w:pPr>
        <w:pStyle w:val="ae"/>
        <w:spacing w:after="0" w:line="360" w:lineRule="auto"/>
        <w:jc w:val="both"/>
        <w:rPr>
          <w:rFonts w:ascii="David" w:hAnsi="David" w:cs="David"/>
          <w:sz w:val="24"/>
          <w:szCs w:val="24"/>
          <w:rtl/>
        </w:rPr>
      </w:pPr>
    </w:p>
    <w:p w:rsidR="002D6887" w:rsidRDefault="002D6887" w:rsidP="002D6887">
      <w:pPr>
        <w:pStyle w:val="ab"/>
        <w:shd w:val="clear" w:color="auto" w:fill="FFFFFF"/>
        <w:spacing w:line="300" w:lineRule="atLeast"/>
        <w:ind w:left="1440" w:right="567"/>
        <w:jc w:val="both"/>
        <w:rPr>
          <w:rFonts w:ascii="FrankRuehl" w:hAnsi="FrankRuehl" w:cs="FrankRuehl"/>
          <w:color w:val="000000"/>
          <w:spacing w:val="10"/>
          <w:sz w:val="28"/>
          <w:szCs w:val="28"/>
        </w:rPr>
      </w:pPr>
      <w:r>
        <w:rPr>
          <w:rFonts w:ascii="FrankRuehl" w:hAnsi="FrankRuehl" w:cs="FrankRuehl"/>
          <w:color w:val="000000"/>
          <w:spacing w:val="10"/>
          <w:sz w:val="28"/>
          <w:szCs w:val="28"/>
          <w:rtl/>
        </w:rPr>
        <w:t xml:space="preserve">"בית המשפט הכיר בהבדל בין אסירים ביטחוניים לבין אסירים אחרים ובנפקות של הבדל זה לגבי תנאי המאסר. </w:t>
      </w:r>
      <w:proofErr w:type="spellStart"/>
      <w:r>
        <w:rPr>
          <w:rFonts w:ascii="FrankRuehl" w:hAnsi="FrankRuehl" w:cs="FrankRuehl"/>
          <w:color w:val="000000"/>
          <w:spacing w:val="10"/>
          <w:sz w:val="28"/>
          <w:szCs w:val="28"/>
          <w:rtl/>
        </w:rPr>
        <w:t>ב</w:t>
      </w:r>
      <w:hyperlink r:id="rId9" w:history="1">
        <w:r>
          <w:rPr>
            <w:rStyle w:val="Hyperlink"/>
            <w:rFonts w:ascii="FrankRuehl" w:hAnsi="FrankRuehl" w:cs="FrankRuehl"/>
            <w:color w:val="000000"/>
            <w:spacing w:val="10"/>
            <w:sz w:val="28"/>
            <w:szCs w:val="28"/>
            <w:rtl/>
          </w:rPr>
          <w:t>בג"צ</w:t>
        </w:r>
        <w:proofErr w:type="spellEnd"/>
        <w:r>
          <w:rPr>
            <w:rStyle w:val="Hyperlink"/>
            <w:rFonts w:ascii="FrankRuehl" w:hAnsi="FrankRuehl" w:cs="FrankRuehl"/>
            <w:color w:val="000000"/>
            <w:spacing w:val="10"/>
            <w:sz w:val="28"/>
            <w:szCs w:val="28"/>
            <w:rtl/>
          </w:rPr>
          <w:t xml:space="preserve"> 221/80</w:t>
        </w:r>
      </w:hyperlink>
      <w:r>
        <w:rPr>
          <w:rFonts w:ascii="FrankRuehl" w:hAnsi="FrankRuehl" w:cs="FrankRuehl"/>
          <w:color w:val="000000"/>
          <w:spacing w:val="10"/>
          <w:sz w:val="28"/>
          <w:szCs w:val="28"/>
          <w:rtl/>
        </w:rPr>
        <w:t xml:space="preserve"> </w:t>
      </w:r>
      <w:proofErr w:type="spellStart"/>
      <w:r>
        <w:rPr>
          <w:rFonts w:ascii="FrankRuehl" w:hAnsi="FrankRuehl" w:cs="FrankRuehl"/>
          <w:color w:val="000000"/>
          <w:spacing w:val="10"/>
          <w:sz w:val="28"/>
          <w:szCs w:val="28"/>
          <w:rtl/>
        </w:rPr>
        <w:lastRenderedPageBreak/>
        <w:t>דרויש</w:t>
      </w:r>
      <w:proofErr w:type="spellEnd"/>
      <w:r>
        <w:rPr>
          <w:rFonts w:ascii="FrankRuehl" w:hAnsi="FrankRuehl" w:cs="FrankRuehl"/>
          <w:color w:val="000000"/>
          <w:spacing w:val="10"/>
          <w:sz w:val="28"/>
          <w:szCs w:val="28"/>
          <w:rtl/>
        </w:rPr>
        <w:t xml:space="preserve"> נ' שירות בתי הסוהר [3], בעמ' </w:t>
      </w:r>
      <w:r>
        <w:rPr>
          <w:rFonts w:ascii="FrankRuehl" w:hAnsi="FrankRuehl" w:cs="FrankRuehl"/>
          <w:color w:val="000000"/>
          <w:spacing w:val="10"/>
          <w:sz w:val="28"/>
          <w:szCs w:val="28"/>
        </w:rPr>
        <w:t>544</w:t>
      </w:r>
      <w:r>
        <w:rPr>
          <w:rFonts w:ascii="FrankRuehl" w:hAnsi="FrankRuehl" w:cs="FrankRuehl"/>
          <w:color w:val="000000"/>
          <w:spacing w:val="10"/>
          <w:sz w:val="28"/>
          <w:szCs w:val="28"/>
          <w:rtl/>
        </w:rPr>
        <w:t>, הציג השופט י' כהן את המאפיינים של אסירים ביטחוניים, כפי שצוינו בתצהיר של נציב בתי הסוהר:</w:t>
      </w:r>
    </w:p>
    <w:p w:rsidR="002D6887" w:rsidRDefault="002D6887" w:rsidP="002D6887">
      <w:pPr>
        <w:tabs>
          <w:tab w:val="left" w:pos="288"/>
          <w:tab w:val="left" w:pos="720"/>
          <w:tab w:val="left" w:pos="1296"/>
          <w:tab w:val="left" w:pos="2016"/>
        </w:tabs>
        <w:autoSpaceDE w:val="0"/>
        <w:autoSpaceDN w:val="0"/>
        <w:adjustRightInd w:val="0"/>
        <w:spacing w:after="80" w:line="260" w:lineRule="exact"/>
        <w:ind w:left="2016" w:right="993" w:firstLine="283"/>
        <w:jc w:val="both"/>
        <w:rPr>
          <w:rFonts w:ascii="Narkisim" w:hAnsi="Narkisim" w:cs="Narkisim"/>
          <w:rtl/>
        </w:rPr>
      </w:pPr>
      <w:r>
        <w:rPr>
          <w:rFonts w:ascii="Narkisim" w:hAnsi="Narkisim" w:cs="Narkisim"/>
        </w:rPr>
        <w:t>"...</w:t>
      </w:r>
      <w:r>
        <w:rPr>
          <w:rFonts w:ascii="Narkisim" w:hAnsi="Narkisim" w:cs="Narkisim"/>
          <w:rtl/>
        </w:rPr>
        <w:t>האסירים הביטחוניים הם גוף מאורגן הפועל כגוף אידיאולוגי אחיד, וזה על-פי הוראות מנגנון ארגוני, שאותו מקיימים אסירים אלה בכל בית-כלא, והמחליט על פעולות האסירים, תוך הפעלת משמעת חמורה ואמצעי ענישה המגיעים עד כדי חיסול פיזי של הסרבנים. בין היתר נאמר בתצהיר, שאסירים ביטחוניים מסרבים לצאת לעבודה ומקיימים פעולות קולקטיביות אחרות המראות על משמעת ועל מנהיגות היכולה לכפות משמעת כזאת. כן נאמר בתצהיר, שאסירים ביטחוניים בבתי-כלא מקבלים הנחיות והוראות לפעולה מארגוני חבלה שונים, ומוציאים לפועל הוראות אלה".</w:t>
      </w:r>
    </w:p>
    <w:p w:rsidR="002D6887" w:rsidRDefault="002D6887" w:rsidP="002D6887">
      <w:pPr>
        <w:pStyle w:val="ab"/>
        <w:shd w:val="clear" w:color="auto" w:fill="FFFFFF"/>
        <w:spacing w:line="300" w:lineRule="atLeast"/>
        <w:ind w:left="1440" w:right="567"/>
        <w:jc w:val="both"/>
        <w:rPr>
          <w:rFonts w:ascii="FrankRuehl" w:hAnsi="FrankRuehl" w:cs="FrankRuehl"/>
          <w:color w:val="000000"/>
          <w:spacing w:val="10"/>
          <w:sz w:val="28"/>
          <w:szCs w:val="28"/>
          <w:rtl/>
        </w:rPr>
      </w:pPr>
      <w:r>
        <w:rPr>
          <w:rFonts w:ascii="FrankRuehl" w:hAnsi="FrankRuehl" w:cs="FrankRuehl"/>
          <w:color w:val="000000"/>
          <w:spacing w:val="10"/>
          <w:sz w:val="28"/>
          <w:szCs w:val="28"/>
          <w:rtl/>
        </w:rPr>
        <w:t>על רקע זה מגיע השופט י' כהן, שם, למסקנה זאת</w:t>
      </w:r>
      <w:r>
        <w:rPr>
          <w:rFonts w:ascii="FrankRuehl" w:hAnsi="FrankRuehl" w:cs="FrankRuehl"/>
          <w:color w:val="000000"/>
          <w:spacing w:val="10"/>
          <w:sz w:val="28"/>
          <w:szCs w:val="28"/>
        </w:rPr>
        <w:t>:</w:t>
      </w:r>
    </w:p>
    <w:p w:rsidR="002D6887" w:rsidRDefault="002D6887" w:rsidP="002D6887">
      <w:pPr>
        <w:tabs>
          <w:tab w:val="left" w:pos="288"/>
          <w:tab w:val="left" w:pos="720"/>
          <w:tab w:val="left" w:pos="1296"/>
          <w:tab w:val="left" w:pos="2016"/>
        </w:tabs>
        <w:autoSpaceDE w:val="0"/>
        <w:autoSpaceDN w:val="0"/>
        <w:adjustRightInd w:val="0"/>
        <w:spacing w:after="80" w:line="260" w:lineRule="exact"/>
        <w:ind w:left="2016" w:right="993" w:firstLine="283"/>
        <w:jc w:val="both"/>
        <w:rPr>
          <w:rFonts w:ascii="Narkisim" w:hAnsi="Narkisim" w:cs="Narkisim"/>
          <w:rtl/>
        </w:rPr>
      </w:pPr>
      <w:r>
        <w:rPr>
          <w:rFonts w:ascii="Narkisim" w:hAnsi="Narkisim" w:cs="Narkisim"/>
        </w:rPr>
        <w:t>"</w:t>
      </w:r>
      <w:r>
        <w:rPr>
          <w:rFonts w:ascii="Narkisim" w:hAnsi="Narkisim" w:cs="Narkisim"/>
          <w:rtl/>
        </w:rPr>
        <w:t>האופי המיוחד הזה של התארגנות האסירים הביטחוניים, התארגנות המביאה לידי ביטוי עוינות לשלטון, מצדיק, לדעתי, את מסקנת המשיב, שהאמצעים הביטחוניים שיש לנקוט כלפי האסירים הביטחוניים חייבים להיות חמורים יותר מאשר האמצעים הביטחוניים הנקוטים כלפי אסירים פליליים. ההפליה, שעליה קובל העותר, איננה על-כן הפליה פסולה. היא איננה נובעת משיקולים פסולים, אלא משיקולים ענייניים של שמירה על הביטחון בבתי הסוהר".</w:t>
      </w:r>
    </w:p>
    <w:p w:rsidR="002D6887" w:rsidRDefault="002D6887" w:rsidP="002D6887">
      <w:pPr>
        <w:pStyle w:val="ab"/>
        <w:shd w:val="clear" w:color="auto" w:fill="FFFFFF"/>
        <w:spacing w:line="300" w:lineRule="atLeast"/>
        <w:ind w:left="1440" w:right="567"/>
        <w:jc w:val="both"/>
        <w:rPr>
          <w:rFonts w:ascii="FrankRuehl" w:hAnsi="FrankRuehl" w:cs="FrankRuehl"/>
          <w:color w:val="000000"/>
          <w:spacing w:val="10"/>
          <w:sz w:val="28"/>
          <w:szCs w:val="28"/>
        </w:rPr>
      </w:pPr>
      <w:r>
        <w:rPr>
          <w:rFonts w:ascii="FrankRuehl" w:hAnsi="FrankRuehl" w:cs="FrankRuehl"/>
          <w:color w:val="000000"/>
          <w:spacing w:val="10"/>
          <w:sz w:val="28"/>
          <w:szCs w:val="28"/>
          <w:rtl/>
        </w:rPr>
        <w:t xml:space="preserve">ראו גם </w:t>
      </w:r>
      <w:hyperlink r:id="rId10" w:history="1">
        <w:r>
          <w:rPr>
            <w:rStyle w:val="Hyperlink"/>
            <w:rFonts w:ascii="FrankRuehl" w:hAnsi="FrankRuehl" w:cs="FrankRuehl"/>
            <w:color w:val="000000"/>
            <w:spacing w:val="10"/>
            <w:sz w:val="28"/>
            <w:szCs w:val="28"/>
            <w:rtl/>
          </w:rPr>
          <w:t>בג"צ 96/80</w:t>
        </w:r>
      </w:hyperlink>
      <w:r>
        <w:rPr>
          <w:rFonts w:ascii="FrankRuehl" w:hAnsi="FrankRuehl" w:cs="FrankRuehl"/>
          <w:color w:val="000000"/>
          <w:spacing w:val="10"/>
          <w:sz w:val="28"/>
          <w:szCs w:val="28"/>
          <w:rtl/>
        </w:rPr>
        <w:t xml:space="preserve"> </w:t>
      </w:r>
      <w:proofErr w:type="spellStart"/>
      <w:r>
        <w:rPr>
          <w:rFonts w:ascii="FrankRuehl" w:hAnsi="FrankRuehl" w:cs="FrankRuehl"/>
          <w:color w:val="000000"/>
          <w:spacing w:val="10"/>
          <w:sz w:val="28"/>
          <w:szCs w:val="28"/>
          <w:rtl/>
        </w:rPr>
        <w:t>אלמלעבי</w:t>
      </w:r>
      <w:proofErr w:type="spellEnd"/>
      <w:r>
        <w:rPr>
          <w:rFonts w:ascii="FrankRuehl" w:hAnsi="FrankRuehl" w:cs="FrankRuehl"/>
          <w:color w:val="000000"/>
          <w:spacing w:val="10"/>
          <w:sz w:val="28"/>
          <w:szCs w:val="28"/>
          <w:rtl/>
        </w:rPr>
        <w:t xml:space="preserve"> נ' שירות בתי הסוהר ואח' [4]</w:t>
      </w:r>
      <w:r>
        <w:rPr>
          <w:rFonts w:ascii="FrankRuehl" w:hAnsi="FrankRuehl" w:cs="FrankRuehl"/>
          <w:color w:val="000000"/>
          <w:spacing w:val="10"/>
          <w:sz w:val="28"/>
          <w:szCs w:val="28"/>
        </w:rPr>
        <w:t>.</w:t>
      </w:r>
      <w:r>
        <w:rPr>
          <w:rFonts w:ascii="FrankRuehl" w:hAnsi="FrankRuehl" w:cs="FrankRuehl"/>
          <w:color w:val="000000"/>
          <w:spacing w:val="10"/>
          <w:sz w:val="28"/>
          <w:szCs w:val="28"/>
          <w:rtl/>
        </w:rPr>
        <w:t xml:space="preserve"> </w:t>
      </w:r>
    </w:p>
    <w:p w:rsidR="002D6887" w:rsidRDefault="002D6887" w:rsidP="002D6887">
      <w:pPr>
        <w:pStyle w:val="ab"/>
        <w:shd w:val="clear" w:color="auto" w:fill="FFFFFF"/>
        <w:spacing w:line="300" w:lineRule="atLeast"/>
        <w:ind w:left="1440" w:right="567"/>
        <w:jc w:val="both"/>
        <w:rPr>
          <w:rFonts w:ascii="FrankRuehl" w:hAnsi="FrankRuehl" w:cs="FrankRuehl"/>
          <w:color w:val="000000"/>
          <w:spacing w:val="10"/>
          <w:sz w:val="28"/>
          <w:szCs w:val="28"/>
          <w:rtl/>
        </w:rPr>
      </w:pPr>
    </w:p>
    <w:p w:rsidR="002D6887" w:rsidRDefault="002D6887" w:rsidP="002D6887">
      <w:pPr>
        <w:pStyle w:val="ab"/>
        <w:shd w:val="clear" w:color="auto" w:fill="FFFFFF"/>
        <w:spacing w:line="300" w:lineRule="atLeast"/>
        <w:ind w:left="1440" w:right="567"/>
        <w:jc w:val="both"/>
        <w:rPr>
          <w:rFonts w:ascii="FrankRuehl" w:hAnsi="FrankRuehl" w:cs="FrankRuehl"/>
          <w:color w:val="000000"/>
          <w:spacing w:val="10"/>
          <w:sz w:val="28"/>
          <w:szCs w:val="28"/>
          <w:rtl/>
        </w:rPr>
      </w:pPr>
      <w:r>
        <w:rPr>
          <w:rFonts w:ascii="FrankRuehl" w:hAnsi="FrankRuehl" w:cs="FrankRuehl"/>
          <w:color w:val="000000"/>
          <w:spacing w:val="10"/>
          <w:sz w:val="28"/>
          <w:szCs w:val="28"/>
          <w:rtl/>
        </w:rPr>
        <w:t>המסקנה היא, שיש הצדקה לקבוע הסדרים מיוחדים לגבי אסירים ביטחוניים..."</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המשיבים לא טענו, ובדין לא טענו, כי מאפיינים אלה של אוכלוסיית האסירים הביטחוניים טבועים ומתקיימים כולם גם באוכלוסיית האסירים תושבי הרשות הפלסטינית. ככל שאסיר תושב הרשות הפלסטינית ניחן במאפיינים כאלה – יסווג האסיר גם כאסיר ביטחוני.</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ועם זה יש לקבל את עמדת המשיבים כי לאסירים תושבי הרשות הפלסטינית מאפיינים ייחודיים שמצדיקים, בהיבטים מסוימים הנוגעים לסוגיית החופשות, התייחסות קבוצתית שונה מצד רשויות הכליאה.</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כפי שצוין בכתב התשובה ובסיכומי המשיבים, אסירים תושבי הרשות הפלסטינית אינם מורשים, ככלל, לשהות בתחומי ישראל. לרבים מאסירים אלה קשרי משפחה ואולי גם קשרים נוספים ברשות הפלסטינית. יש לקבל גם את הטענה כי, במקרים רבים, אסירים אלה אינם חשים מחויבות ואינם בהכרח נאמנים למדינת ישראל, וקיים סיכון מוגבר לבריחתם לתוך שטחי הרשות אם יזכו לחופשה בתחומי ישראל. הסיכון במתן חופשות לאסירים המשתייכים לקבוצה זו קיבל ממד </w:t>
      </w:r>
      <w:r>
        <w:rPr>
          <w:rFonts w:ascii="David" w:hAnsi="David" w:cs="David"/>
          <w:sz w:val="24"/>
          <w:szCs w:val="24"/>
          <w:rtl/>
        </w:rPr>
        <w:lastRenderedPageBreak/>
        <w:t>מוחשי בחוות דעת שב"כ בה עיינתי, בהסכמת העותר, והמצב הביטחוני הנוכחי – לאחר פרוץ המלחמה – מגביר עוד יותר את הסיכונים הנובעים מהוצאת אסירים אלה לחופשה בעת הנוכחית.</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כל אלה הצדיקו לטעמי התייחסות קבוצתית שונה בהיבט החופשות לקבוצת האסירים תושבי הרשות הפלסטינית יחסית לשאר האסירים. התייחסות שהיא, כשלעצמה, לא פוגעת בעקרון השוויון. במלים אחרות, לא נפל פגם בהחלטת נציב שב"ס לכלול בפקודה התייחסות </w:t>
      </w:r>
      <w:r>
        <w:rPr>
          <w:rFonts w:ascii="David" w:hAnsi="David" w:cs="David"/>
          <w:b/>
          <w:bCs/>
          <w:sz w:val="24"/>
          <w:szCs w:val="24"/>
          <w:rtl/>
        </w:rPr>
        <w:t>נפרדת</w:t>
      </w:r>
      <w:r>
        <w:rPr>
          <w:rFonts w:ascii="David" w:hAnsi="David" w:cs="David"/>
          <w:sz w:val="24"/>
          <w:szCs w:val="24"/>
          <w:rtl/>
        </w:rPr>
        <w:t xml:space="preserve"> לחופשות אסירים תושבי הרשות הפלסטינית, כך שבמצב הדברים הרגיל לא תינתנה להם חופשות "רגילות".</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ואמנם, בית המשפט העליון נכון היה להכיר בהתייחסות קבוצתית שונה בהיבט החופשות לאסירים תושבי הרשות הפלסטינית. אך זאת לא באופן גורף, שהרי כאמור לעיל העתירות שנדונו ב</w:t>
      </w:r>
      <w:r>
        <w:rPr>
          <w:rFonts w:ascii="David" w:hAnsi="David" w:cs="David"/>
          <w:b/>
          <w:bCs/>
          <w:sz w:val="24"/>
          <w:szCs w:val="24"/>
          <w:rtl/>
        </w:rPr>
        <w:t xml:space="preserve">עניין </w:t>
      </w:r>
      <w:proofErr w:type="spellStart"/>
      <w:r>
        <w:rPr>
          <w:rFonts w:ascii="David" w:hAnsi="David" w:cs="David"/>
          <w:b/>
          <w:bCs/>
          <w:sz w:val="24"/>
          <w:szCs w:val="24"/>
          <w:rtl/>
        </w:rPr>
        <w:t>עיאדה</w:t>
      </w:r>
      <w:proofErr w:type="spellEnd"/>
      <w:r>
        <w:rPr>
          <w:rFonts w:ascii="David" w:hAnsi="David" w:cs="David"/>
          <w:sz w:val="24"/>
          <w:szCs w:val="24"/>
          <w:rtl/>
        </w:rPr>
        <w:t xml:space="preserve"> נמחקו רק לאחר ששב"ס הודיע על ריכוך הסעיף הגורף, ובמסגרת </w:t>
      </w:r>
      <w:r>
        <w:rPr>
          <w:rFonts w:ascii="David" w:hAnsi="David" w:cs="David"/>
          <w:b/>
          <w:bCs/>
          <w:sz w:val="24"/>
          <w:szCs w:val="24"/>
          <w:rtl/>
        </w:rPr>
        <w:t>רע"ב 6023/06</w:t>
      </w:r>
      <w:r>
        <w:rPr>
          <w:rFonts w:ascii="David" w:hAnsi="David" w:cs="David"/>
          <w:sz w:val="24"/>
          <w:szCs w:val="24"/>
          <w:rtl/>
        </w:rPr>
        <w:t xml:space="preserve"> אישר בית המשפט העליון את נוסח הפקודה שהטמיע נוהל מרוכך אשר אִפשר לאסיר תושב הרשות הפלסטינית, במסגרת חריג צר, בדיקה פרטנית של עניינו.</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השאלה היא האם רשאית הייתה הרשוּת </w:t>
      </w:r>
      <w:proofErr w:type="spellStart"/>
      <w:r>
        <w:rPr>
          <w:rFonts w:ascii="David" w:hAnsi="David" w:cs="David"/>
          <w:sz w:val="24"/>
          <w:szCs w:val="24"/>
          <w:rtl/>
        </w:rPr>
        <w:t>המינהלית</w:t>
      </w:r>
      <w:proofErr w:type="spellEnd"/>
      <w:r>
        <w:rPr>
          <w:rFonts w:ascii="David" w:hAnsi="David" w:cs="David"/>
          <w:sz w:val="24"/>
          <w:szCs w:val="24"/>
          <w:rtl/>
        </w:rPr>
        <w:t xml:space="preserve">, במסגרת תיקון הפקודה משנת 2015, לסטות מן ההסדר שאושר על ידי בית המשפט העליון </w:t>
      </w:r>
      <w:proofErr w:type="spellStart"/>
      <w:r>
        <w:rPr>
          <w:rFonts w:ascii="David" w:hAnsi="David" w:cs="David"/>
          <w:sz w:val="24"/>
          <w:szCs w:val="24"/>
          <w:rtl/>
        </w:rPr>
        <w:t>ב</w:t>
      </w:r>
      <w:r>
        <w:rPr>
          <w:rFonts w:ascii="David" w:hAnsi="David" w:cs="David"/>
          <w:b/>
          <w:bCs/>
          <w:sz w:val="24"/>
          <w:szCs w:val="24"/>
          <w:rtl/>
        </w:rPr>
        <w:t>רע"ב</w:t>
      </w:r>
      <w:proofErr w:type="spellEnd"/>
      <w:r>
        <w:rPr>
          <w:rFonts w:ascii="David" w:hAnsi="David" w:cs="David"/>
          <w:b/>
          <w:bCs/>
          <w:sz w:val="24"/>
          <w:szCs w:val="24"/>
          <w:rtl/>
        </w:rPr>
        <w:t xml:space="preserve"> 6023/06</w:t>
      </w:r>
      <w:r>
        <w:rPr>
          <w:rFonts w:ascii="David" w:hAnsi="David" w:cs="David"/>
          <w:sz w:val="24"/>
          <w:szCs w:val="24"/>
          <w:rtl/>
        </w:rPr>
        <w:t xml:space="preserve">, ולכבול את שיקול דעתה כך שבשום נסיבות לא תוכל לבחון סטייה מן הכלל, שלפיו לא תינתן לאסיר תושב הרשות הפלסטינית חופשה "רגילה".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רשויות </w:t>
      </w:r>
      <w:proofErr w:type="spellStart"/>
      <w:r>
        <w:rPr>
          <w:rFonts w:ascii="David" w:hAnsi="David" w:cs="David"/>
          <w:sz w:val="24"/>
          <w:szCs w:val="24"/>
          <w:rtl/>
        </w:rPr>
        <w:t>המינהל</w:t>
      </w:r>
      <w:proofErr w:type="spellEnd"/>
      <w:r>
        <w:rPr>
          <w:rFonts w:ascii="David" w:hAnsi="David" w:cs="David"/>
          <w:sz w:val="24"/>
          <w:szCs w:val="24"/>
          <w:rtl/>
        </w:rPr>
        <w:t xml:space="preserve"> מחויבות להפעיל את סמכותן בסבירות ובמידתיות. מידתיות משמעותה כי אם פוגעת הרשות בפעולתה בזכויותיו של הפרט, עליה לעשות זאת באופן שאינו עולה על הנדרש על מנת להגשים את מטרת פעולתה [בג"ץ 3477/95 </w:t>
      </w:r>
      <w:r>
        <w:rPr>
          <w:rFonts w:ascii="David" w:hAnsi="David" w:cs="David"/>
          <w:b/>
          <w:bCs/>
          <w:sz w:val="24"/>
          <w:szCs w:val="24"/>
          <w:rtl/>
        </w:rPr>
        <w:t xml:space="preserve">בן </w:t>
      </w:r>
      <w:proofErr w:type="spellStart"/>
      <w:r>
        <w:rPr>
          <w:rFonts w:ascii="David" w:hAnsi="David" w:cs="David"/>
          <w:b/>
          <w:bCs/>
          <w:sz w:val="24"/>
          <w:szCs w:val="24"/>
          <w:rtl/>
        </w:rPr>
        <w:t>עטייה</w:t>
      </w:r>
      <w:proofErr w:type="spellEnd"/>
      <w:r>
        <w:rPr>
          <w:rFonts w:ascii="David" w:hAnsi="David" w:cs="David"/>
          <w:b/>
          <w:bCs/>
          <w:sz w:val="24"/>
          <w:szCs w:val="24"/>
          <w:rtl/>
        </w:rPr>
        <w:t xml:space="preserve"> נ' שר החינוך, התרבות והספורט</w:t>
      </w:r>
      <w:r>
        <w:rPr>
          <w:rFonts w:ascii="David" w:hAnsi="David" w:cs="David"/>
          <w:sz w:val="24"/>
          <w:szCs w:val="24"/>
          <w:rtl/>
        </w:rPr>
        <w:t xml:space="preserve">, פ"ד מט(5) 1 (1996). במבחני המידתיות ניתן לעשות שימוש גם במסגרת הביקורת השיפוטית על החלטות </w:t>
      </w:r>
      <w:proofErr w:type="spellStart"/>
      <w:r>
        <w:rPr>
          <w:rFonts w:ascii="David" w:hAnsi="David" w:cs="David"/>
          <w:sz w:val="24"/>
          <w:szCs w:val="24"/>
          <w:rtl/>
        </w:rPr>
        <w:t>מינהליות</w:t>
      </w:r>
      <w:proofErr w:type="spellEnd"/>
      <w:r>
        <w:rPr>
          <w:rFonts w:ascii="David" w:hAnsi="David" w:cs="David"/>
          <w:sz w:val="24"/>
          <w:szCs w:val="24"/>
          <w:rtl/>
        </w:rPr>
        <w:t xml:space="preserve"> ונהלי הרשות [בג"ץ 509/80 </w:t>
      </w:r>
      <w:r>
        <w:rPr>
          <w:rFonts w:ascii="David" w:hAnsi="David" w:cs="David"/>
          <w:b/>
          <w:bCs/>
          <w:sz w:val="24"/>
          <w:szCs w:val="24"/>
          <w:rtl/>
        </w:rPr>
        <w:t>יונס נ' מנכ"ל משרד ראש הממשלה</w:t>
      </w:r>
      <w:r>
        <w:rPr>
          <w:rFonts w:ascii="David" w:hAnsi="David" w:cs="David"/>
          <w:sz w:val="24"/>
          <w:szCs w:val="24"/>
          <w:rtl/>
        </w:rPr>
        <w:t xml:space="preserve">, פ"ד לה(3) 589 (1981); עניין </w:t>
      </w:r>
      <w:r>
        <w:rPr>
          <w:rFonts w:ascii="David" w:hAnsi="David" w:cs="David"/>
          <w:b/>
          <w:bCs/>
          <w:sz w:val="24"/>
          <w:szCs w:val="24"/>
          <w:rtl/>
        </w:rPr>
        <w:t xml:space="preserve">אבו </w:t>
      </w:r>
      <w:proofErr w:type="spellStart"/>
      <w:r>
        <w:rPr>
          <w:rFonts w:ascii="David" w:hAnsi="David" w:cs="David"/>
          <w:b/>
          <w:bCs/>
          <w:sz w:val="24"/>
          <w:szCs w:val="24"/>
          <w:rtl/>
        </w:rPr>
        <w:t>צעלוק</w:t>
      </w:r>
      <w:proofErr w:type="spellEnd"/>
      <w:r>
        <w:rPr>
          <w:rFonts w:ascii="David" w:hAnsi="David" w:cs="David"/>
          <w:sz w:val="24"/>
          <w:szCs w:val="24"/>
          <w:rtl/>
        </w:rPr>
        <w:t xml:space="preserve">, פסקה 58.ג. לחוות דעתו של כב' המשנה לנשיאה ח' מלצר)]. </w:t>
      </w:r>
    </w:p>
    <w:p w:rsidR="002D6887" w:rsidRDefault="002D6887" w:rsidP="002D6887">
      <w:pPr>
        <w:pStyle w:val="ae"/>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אבחן אפוא את ההסדר השולל מתן חופשה "רגילה" לאסיר תושב הרשות הפלסטינית בהתאם למבחני המשנה של המידתיות, הנהוגים במשפט </w:t>
      </w:r>
      <w:proofErr w:type="spellStart"/>
      <w:r>
        <w:rPr>
          <w:rFonts w:ascii="David" w:hAnsi="David" w:cs="David"/>
          <w:sz w:val="24"/>
          <w:szCs w:val="24"/>
          <w:rtl/>
        </w:rPr>
        <w:t>המינהלי</w:t>
      </w:r>
      <w:proofErr w:type="spellEnd"/>
      <w:r>
        <w:rPr>
          <w:rFonts w:ascii="David" w:hAnsi="David" w:cs="David"/>
          <w:sz w:val="24"/>
          <w:szCs w:val="24"/>
          <w:rtl/>
        </w:rPr>
        <w:t>:</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ההסדר נושא העתירה מקיים לדעתי את </w:t>
      </w:r>
      <w:r>
        <w:rPr>
          <w:rFonts w:ascii="David" w:hAnsi="David" w:cs="David"/>
          <w:sz w:val="24"/>
          <w:szCs w:val="24"/>
          <w:u w:val="single"/>
          <w:rtl/>
        </w:rPr>
        <w:t>מבחן המשנה הראשון</w:t>
      </w:r>
      <w:r>
        <w:rPr>
          <w:rFonts w:ascii="David" w:hAnsi="David" w:cs="David"/>
          <w:sz w:val="24"/>
          <w:szCs w:val="24"/>
          <w:rtl/>
        </w:rPr>
        <w:t xml:space="preserve"> של המידתיות – </w:t>
      </w:r>
      <w:r>
        <w:rPr>
          <w:rFonts w:ascii="David" w:hAnsi="David" w:cs="David"/>
          <w:b/>
          <w:bCs/>
          <w:sz w:val="24"/>
          <w:szCs w:val="24"/>
          <w:rtl/>
        </w:rPr>
        <w:t>הקשר הרציונאלי שבין האמצעי למטרה</w:t>
      </w:r>
      <w:r>
        <w:rPr>
          <w:rFonts w:ascii="David" w:hAnsi="David" w:cs="David"/>
          <w:sz w:val="24"/>
          <w:szCs w:val="24"/>
          <w:rtl/>
        </w:rPr>
        <w:t xml:space="preserve">. שלילת האפשרות לחופשה "רגילה" לאסירים תושבי הרשות הפלסטינית אכן מקדמת את התכליות העומדות בבסיס ההסדר, שהן שמירה על שלום הציבור וביטחונו ומניעת בריחה ממשמורת.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דא עקא, חוששני כי ההסדר שנקבע אינו מקיים כראוי את שני מבחני המשנה האחרים של המידתיות: האמצעי שפגיעתו פחותה והמידתיות במובנה הצר.</w:t>
      </w:r>
    </w:p>
    <w:p w:rsidR="002D6887" w:rsidRDefault="002D6887" w:rsidP="002D6887">
      <w:pPr>
        <w:pStyle w:val="ae"/>
        <w:spacing w:after="0" w:line="360" w:lineRule="auto"/>
        <w:ind w:left="84"/>
        <w:jc w:val="both"/>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u w:val="single"/>
          <w:rtl/>
        </w:rPr>
        <w:t>המבחן השני</w:t>
      </w:r>
      <w:r>
        <w:rPr>
          <w:rFonts w:ascii="David" w:hAnsi="David" w:cs="David"/>
          <w:sz w:val="24"/>
          <w:szCs w:val="24"/>
          <w:rtl/>
        </w:rPr>
        <w:t xml:space="preserve"> הוא </w:t>
      </w:r>
      <w:r>
        <w:rPr>
          <w:rFonts w:ascii="David" w:hAnsi="David" w:cs="David"/>
          <w:b/>
          <w:bCs/>
          <w:sz w:val="24"/>
          <w:szCs w:val="24"/>
          <w:rtl/>
        </w:rPr>
        <w:t>האמצעי שפגיעתו פחותה</w:t>
      </w:r>
      <w:r>
        <w:rPr>
          <w:rFonts w:ascii="David" w:hAnsi="David" w:cs="David"/>
          <w:sz w:val="24"/>
          <w:szCs w:val="24"/>
          <w:rtl/>
        </w:rPr>
        <w:t xml:space="preserve">. ההחלטה </w:t>
      </w:r>
      <w:proofErr w:type="spellStart"/>
      <w:r>
        <w:rPr>
          <w:rFonts w:ascii="David" w:hAnsi="David" w:cs="David"/>
          <w:sz w:val="24"/>
          <w:szCs w:val="24"/>
          <w:rtl/>
        </w:rPr>
        <w:t>המינהלית</w:t>
      </w:r>
      <w:proofErr w:type="spellEnd"/>
      <w:r>
        <w:rPr>
          <w:rFonts w:ascii="David" w:hAnsi="David" w:cs="David"/>
          <w:sz w:val="24"/>
          <w:szCs w:val="24"/>
          <w:rtl/>
        </w:rPr>
        <w:t xml:space="preserve"> אינה מקיימת מבחן משנה זה אם נמצא שניתן היה לנקוט באמצעי אחר, שיכול היה להגשים את המטרה במידה שווה או דומה לאמצעי הנבחר, שפגיעתו פחותה בזכויות האסירים תושבי הרשות הפלסטינית.</w:t>
      </w:r>
    </w:p>
    <w:p w:rsidR="002D6887" w:rsidRDefault="002D6887" w:rsidP="002D6887">
      <w:pPr>
        <w:pStyle w:val="ae"/>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 xml:space="preserve">כאמור, מטרת ההסדר שנבחר בעניינם של אסירים תושבי הרשות הפלסטינית היא שמירה על שלום הציבור וביטחונו ומניעת בריחה ממשמורת. מוכן אני לצאת מנקודת הנחה כי לא היה בכוחו של כל אמצעי אחר, פחות גורף, שהיה נבחר בידי הרשות, להשיג את המטרה הזו </w:t>
      </w:r>
      <w:r>
        <w:rPr>
          <w:rFonts w:ascii="David" w:hAnsi="David" w:cs="David"/>
          <w:b/>
          <w:bCs/>
          <w:sz w:val="24"/>
          <w:szCs w:val="24"/>
          <w:rtl/>
        </w:rPr>
        <w:t>במידה שווה</w:t>
      </w:r>
      <w:r>
        <w:rPr>
          <w:rFonts w:ascii="David" w:hAnsi="David" w:cs="David"/>
          <w:sz w:val="24"/>
          <w:szCs w:val="24"/>
          <w:rtl/>
        </w:rPr>
        <w:t xml:space="preserve"> [השוו: עניין </w:t>
      </w:r>
      <w:r>
        <w:rPr>
          <w:rFonts w:ascii="David" w:hAnsi="David" w:cs="David"/>
          <w:b/>
          <w:bCs/>
          <w:sz w:val="24"/>
          <w:szCs w:val="24"/>
          <w:rtl/>
        </w:rPr>
        <w:t>יונס</w:t>
      </w:r>
      <w:r>
        <w:rPr>
          <w:rFonts w:ascii="David" w:hAnsi="David" w:cs="David"/>
          <w:sz w:val="24"/>
          <w:szCs w:val="24"/>
          <w:rtl/>
        </w:rPr>
        <w:t xml:space="preserve">, פסקה 74; רע"ב 4644/15 </w:t>
      </w:r>
      <w:proofErr w:type="spellStart"/>
      <w:r>
        <w:rPr>
          <w:rFonts w:ascii="David" w:hAnsi="David" w:cs="David"/>
          <w:b/>
          <w:bCs/>
          <w:sz w:val="24"/>
          <w:szCs w:val="24"/>
          <w:rtl/>
        </w:rPr>
        <w:t>ראעי</w:t>
      </w:r>
      <w:proofErr w:type="spellEnd"/>
      <w:r>
        <w:rPr>
          <w:rFonts w:ascii="David" w:hAnsi="David" w:cs="David"/>
          <w:b/>
          <w:bCs/>
          <w:sz w:val="24"/>
          <w:szCs w:val="24"/>
          <w:rtl/>
        </w:rPr>
        <w:t xml:space="preserve"> נ' שירות בתי הסוהר</w:t>
      </w:r>
      <w:r>
        <w:rPr>
          <w:rFonts w:ascii="David" w:hAnsi="David" w:cs="David"/>
          <w:sz w:val="24"/>
          <w:szCs w:val="24"/>
          <w:rtl/>
        </w:rPr>
        <w:t xml:space="preserve"> (15.6.2016), פסקה 26 לפסק דינו של כב' השופט (כתוארו אז) ע' </w:t>
      </w:r>
      <w:proofErr w:type="spellStart"/>
      <w:r>
        <w:rPr>
          <w:rFonts w:ascii="David" w:hAnsi="David" w:cs="David"/>
          <w:sz w:val="24"/>
          <w:szCs w:val="24"/>
          <w:rtl/>
        </w:rPr>
        <w:t>פוגלמן</w:t>
      </w:r>
      <w:proofErr w:type="spellEnd"/>
      <w:r>
        <w:rPr>
          <w:rFonts w:ascii="David" w:hAnsi="David" w:cs="David"/>
          <w:sz w:val="24"/>
          <w:szCs w:val="24"/>
          <w:rtl/>
        </w:rPr>
        <w:t xml:space="preserve"> (להלן: </w:t>
      </w:r>
      <w:r>
        <w:rPr>
          <w:rFonts w:ascii="Miriam" w:hAnsi="Miriam" w:cs="Miriam"/>
          <w:b/>
          <w:bCs/>
          <w:sz w:val="24"/>
          <w:szCs w:val="24"/>
          <w:rtl/>
        </w:rPr>
        <w:t xml:space="preserve">עניין </w:t>
      </w:r>
      <w:proofErr w:type="spellStart"/>
      <w:r>
        <w:rPr>
          <w:rFonts w:ascii="Miriam" w:hAnsi="Miriam" w:cs="Miriam"/>
          <w:b/>
          <w:bCs/>
          <w:sz w:val="24"/>
          <w:szCs w:val="24"/>
          <w:rtl/>
        </w:rPr>
        <w:t>ראעי</w:t>
      </w:r>
      <w:proofErr w:type="spellEnd"/>
      <w:r>
        <w:rPr>
          <w:rFonts w:ascii="David" w:hAnsi="David" w:cs="David"/>
          <w:sz w:val="24"/>
          <w:szCs w:val="24"/>
          <w:rtl/>
        </w:rPr>
        <w:t xml:space="preserve">)], אף כי יש, כמובן, בידי המשיבים כלים מגוונים שנועדו להפיג את מסוכנותם של אסירים </w:t>
      </w:r>
      <w:r>
        <w:rPr>
          <w:rFonts w:ascii="David" w:hAnsi="David" w:cs="David"/>
          <w:b/>
          <w:bCs/>
          <w:sz w:val="24"/>
          <w:szCs w:val="24"/>
          <w:rtl/>
        </w:rPr>
        <w:t>בעת</w:t>
      </w:r>
      <w:r>
        <w:rPr>
          <w:rFonts w:ascii="David" w:hAnsi="David" w:cs="David"/>
          <w:sz w:val="24"/>
          <w:szCs w:val="24"/>
          <w:rtl/>
        </w:rPr>
        <w:t xml:space="preserve"> צאתם לחופשה (בנוגע למקום החופשה, משכה, העמדת ערבים, חתימה בתחנת משטרה, ועוד – כמפורט בפרק כ' לפקודה).</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אלא, שההסדר שנבחר כאן הוא, כאמור, שלילה מוחלטת של האפשרות להוציא אסיר תושב הרשות הפלסטינית לחופשה רגילה.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b"/>
        <w:shd w:val="clear" w:color="auto" w:fill="FFFFFF"/>
        <w:spacing w:line="300" w:lineRule="atLeast"/>
        <w:ind w:left="1440" w:right="567"/>
        <w:jc w:val="both"/>
        <w:rPr>
          <w:rFonts w:ascii="FrankRuehl" w:hAnsi="FrankRuehl" w:cs="FrankRuehl"/>
          <w:color w:val="000000"/>
          <w:spacing w:val="10"/>
          <w:sz w:val="28"/>
          <w:szCs w:val="28"/>
          <w:rtl/>
        </w:rPr>
      </w:pPr>
      <w:r>
        <w:rPr>
          <w:rFonts w:ascii="FrankRuehl" w:hAnsi="FrankRuehl" w:cs="FrankRuehl"/>
          <w:color w:val="000000"/>
          <w:spacing w:val="10"/>
          <w:sz w:val="28"/>
          <w:szCs w:val="28"/>
          <w:rtl/>
        </w:rPr>
        <w:t xml:space="preserve">"... כידוע, על הרשות </w:t>
      </w:r>
      <w:proofErr w:type="spellStart"/>
      <w:r>
        <w:rPr>
          <w:rFonts w:ascii="FrankRuehl" w:hAnsi="FrankRuehl" w:cs="FrankRuehl"/>
          <w:color w:val="000000"/>
          <w:spacing w:val="10"/>
          <w:sz w:val="28"/>
          <w:szCs w:val="28"/>
          <w:rtl/>
        </w:rPr>
        <w:t>המינהלית</w:t>
      </w:r>
      <w:proofErr w:type="spellEnd"/>
      <w:r>
        <w:rPr>
          <w:rFonts w:ascii="FrankRuehl" w:hAnsi="FrankRuehl" w:cs="FrankRuehl"/>
          <w:color w:val="000000"/>
          <w:spacing w:val="10"/>
          <w:sz w:val="28"/>
          <w:szCs w:val="28"/>
          <w:rtl/>
        </w:rPr>
        <w:t xml:space="preserve"> מוטלת החובה לבחון האם נסיבותיו המיוחדות והחריגות של המקרה הנדון, אינן מצדיקות סטייה מהנהלים וההנחיות הכלליות (ראו: בג"ץ 6867/96 המועצ</w:t>
      </w:r>
      <w:r>
        <w:rPr>
          <w:rFonts w:ascii="FrankRuehl" w:hAnsi="FrankRuehl" w:cs="FrankRuehl"/>
          <w:b/>
          <w:bCs/>
          <w:color w:val="000000"/>
          <w:spacing w:val="10"/>
          <w:sz w:val="28"/>
          <w:szCs w:val="28"/>
          <w:rtl/>
        </w:rPr>
        <w:t>ה המקומית כפר-</w:t>
      </w:r>
      <w:proofErr w:type="spellStart"/>
      <w:r>
        <w:rPr>
          <w:rFonts w:ascii="FrankRuehl" w:hAnsi="FrankRuehl" w:cs="FrankRuehl"/>
          <w:b/>
          <w:bCs/>
          <w:color w:val="000000"/>
          <w:spacing w:val="10"/>
          <w:sz w:val="28"/>
          <w:szCs w:val="28"/>
          <w:rtl/>
        </w:rPr>
        <w:t>כנא</w:t>
      </w:r>
      <w:proofErr w:type="spellEnd"/>
      <w:r>
        <w:rPr>
          <w:rFonts w:ascii="FrankRuehl" w:hAnsi="FrankRuehl" w:cs="FrankRuehl"/>
          <w:b/>
          <w:bCs/>
          <w:color w:val="000000"/>
          <w:spacing w:val="10"/>
          <w:sz w:val="28"/>
          <w:szCs w:val="28"/>
          <w:rtl/>
        </w:rPr>
        <w:t xml:space="preserve"> נ' שר הפנים</w:t>
      </w:r>
      <w:r>
        <w:rPr>
          <w:rFonts w:ascii="FrankRuehl" w:hAnsi="FrankRuehl" w:cs="FrankRuehl"/>
          <w:color w:val="000000"/>
          <w:spacing w:val="10"/>
          <w:sz w:val="28"/>
          <w:szCs w:val="28"/>
          <w:rtl/>
        </w:rPr>
        <w:t xml:space="preserve">, פ"ד נב(3) 111, 115 (1998); </w:t>
      </w:r>
      <w:r>
        <w:rPr>
          <w:rFonts w:ascii="FrankRuehl" w:hAnsi="FrankRuehl" w:cs="FrankRuehl"/>
          <w:b/>
          <w:bCs/>
          <w:color w:val="000000"/>
          <w:spacing w:val="10"/>
          <w:sz w:val="28"/>
          <w:szCs w:val="28"/>
          <w:rtl/>
        </w:rPr>
        <w:t>בג"ץ 7053/96 אמקור בע"מ נ' שר הפנים</w:t>
      </w:r>
      <w:r>
        <w:rPr>
          <w:rFonts w:ascii="FrankRuehl" w:hAnsi="FrankRuehl" w:cs="FrankRuehl"/>
          <w:color w:val="000000"/>
          <w:spacing w:val="10"/>
          <w:sz w:val="28"/>
          <w:szCs w:val="28"/>
          <w:rtl/>
        </w:rPr>
        <w:t xml:space="preserve">, פ"ד </w:t>
      </w:r>
      <w:proofErr w:type="spellStart"/>
      <w:r>
        <w:rPr>
          <w:rFonts w:ascii="FrankRuehl" w:hAnsi="FrankRuehl" w:cs="FrankRuehl"/>
          <w:color w:val="000000"/>
          <w:spacing w:val="10"/>
          <w:sz w:val="28"/>
          <w:szCs w:val="28"/>
          <w:rtl/>
        </w:rPr>
        <w:t>נג</w:t>
      </w:r>
      <w:proofErr w:type="spellEnd"/>
      <w:r>
        <w:rPr>
          <w:rFonts w:ascii="FrankRuehl" w:hAnsi="FrankRuehl" w:cs="FrankRuehl"/>
          <w:color w:val="000000"/>
          <w:spacing w:val="10"/>
          <w:sz w:val="28"/>
          <w:szCs w:val="28"/>
          <w:rtl/>
        </w:rPr>
        <w:t xml:space="preserve">(1) 193, 213 (1999); </w:t>
      </w:r>
      <w:r>
        <w:rPr>
          <w:rFonts w:ascii="FrankRuehl" w:hAnsi="FrankRuehl"/>
          <w:color w:val="000000"/>
          <w:sz w:val="28"/>
          <w:rtl/>
        </w:rPr>
        <w:t xml:space="preserve">דפנה ברק-ארז משפט </w:t>
      </w:r>
      <w:proofErr w:type="spellStart"/>
      <w:r>
        <w:rPr>
          <w:rFonts w:ascii="FrankRuehl" w:hAnsi="FrankRuehl"/>
          <w:color w:val="000000"/>
          <w:sz w:val="28"/>
          <w:rtl/>
        </w:rPr>
        <w:t>מינהלי</w:t>
      </w:r>
      <w:proofErr w:type="spellEnd"/>
      <w:r>
        <w:rPr>
          <w:rFonts w:ascii="FrankRuehl" w:hAnsi="FrankRuehl"/>
          <w:color w:val="000000"/>
          <w:sz w:val="28"/>
          <w:rtl/>
        </w:rPr>
        <w:t xml:space="preserve"> כרך א 250 </w:t>
      </w:r>
      <w:r>
        <w:rPr>
          <w:rFonts w:ascii="FrankRuehl" w:hAnsi="FrankRuehl" w:cs="FrankRuehl"/>
          <w:color w:val="000000"/>
          <w:spacing w:val="10"/>
          <w:sz w:val="28"/>
          <w:szCs w:val="28"/>
          <w:rtl/>
        </w:rPr>
        <w:t xml:space="preserve"> (2010) (להלן: </w:t>
      </w:r>
      <w:r>
        <w:rPr>
          <w:rFonts w:ascii="FrankRuehl" w:hAnsi="FrankRuehl" w:cs="FrankRuehl"/>
          <w:b/>
          <w:bCs/>
          <w:color w:val="000000"/>
          <w:spacing w:val="10"/>
          <w:sz w:val="28"/>
          <w:szCs w:val="28"/>
          <w:rtl/>
        </w:rPr>
        <w:t>ברק-ארז</w:t>
      </w:r>
      <w:r>
        <w:rPr>
          <w:rFonts w:ascii="FrankRuehl" w:hAnsi="FrankRuehl" w:cs="FrankRuehl"/>
          <w:color w:val="000000"/>
          <w:spacing w:val="10"/>
          <w:sz w:val="28"/>
          <w:szCs w:val="28"/>
          <w:rtl/>
        </w:rPr>
        <w:t xml:space="preserve">)). בנוסף לכך, הפעלת שיקול דעת לצורך יישומו של נוהל </w:t>
      </w:r>
      <w:proofErr w:type="spellStart"/>
      <w:r>
        <w:rPr>
          <w:rFonts w:ascii="FrankRuehl" w:hAnsi="FrankRuehl" w:cs="FrankRuehl"/>
          <w:color w:val="000000"/>
          <w:spacing w:val="10"/>
          <w:sz w:val="28"/>
          <w:szCs w:val="28"/>
          <w:rtl/>
        </w:rPr>
        <w:t>מינהלי</w:t>
      </w:r>
      <w:proofErr w:type="spellEnd"/>
      <w:r>
        <w:rPr>
          <w:rFonts w:ascii="FrankRuehl" w:hAnsi="FrankRuehl" w:cs="FrankRuehl"/>
          <w:color w:val="000000"/>
          <w:spacing w:val="10"/>
          <w:sz w:val="28"/>
          <w:szCs w:val="28"/>
          <w:rtl/>
        </w:rPr>
        <w:t xml:space="preserve"> בעניינו של אדם צריכה להתבצע לאחר בחינת נסיבותיו הקונקרטיות והרלוונטיות לשם קבלת ההחלטה. אף במקרים בהם מגבשת הרשות </w:t>
      </w:r>
      <w:proofErr w:type="spellStart"/>
      <w:r>
        <w:rPr>
          <w:rFonts w:ascii="FrankRuehl" w:hAnsi="FrankRuehl" w:cs="FrankRuehl"/>
          <w:color w:val="000000"/>
          <w:spacing w:val="10"/>
          <w:sz w:val="28"/>
          <w:szCs w:val="28"/>
          <w:rtl/>
        </w:rPr>
        <w:t>המינהלית</w:t>
      </w:r>
      <w:proofErr w:type="spellEnd"/>
      <w:r>
        <w:rPr>
          <w:rFonts w:ascii="FrankRuehl" w:hAnsi="FrankRuehl" w:cs="FrankRuehl"/>
          <w:color w:val="000000"/>
          <w:spacing w:val="10"/>
          <w:sz w:val="28"/>
          <w:szCs w:val="28"/>
          <w:rtl/>
        </w:rPr>
        <w:t xml:space="preserve"> מדיניות כללית, עליה לבחון האם ראוי ליישם אותה בשים לב למערכת העובדות בכל מקרה (ראו: בג"ץ 3758/17 </w:t>
      </w:r>
      <w:r>
        <w:rPr>
          <w:rFonts w:ascii="FrankRuehl" w:hAnsi="FrankRuehl" w:cs="FrankRuehl"/>
          <w:b/>
          <w:bCs/>
          <w:color w:val="000000"/>
          <w:spacing w:val="10"/>
          <w:sz w:val="28"/>
          <w:szCs w:val="28"/>
          <w:rtl/>
        </w:rPr>
        <w:t>הסתדרות העובדים הכללית החדשה נ' הנהלת בתי המשפט</w:t>
      </w:r>
      <w:r>
        <w:rPr>
          <w:rFonts w:ascii="FrankRuehl" w:hAnsi="FrankRuehl" w:cs="FrankRuehl"/>
          <w:color w:val="000000"/>
          <w:spacing w:val="10"/>
          <w:sz w:val="28"/>
          <w:szCs w:val="28"/>
          <w:rtl/>
        </w:rPr>
        <w:t xml:space="preserve">, פסקה 29 (20.07.2017); </w:t>
      </w:r>
      <w:r>
        <w:rPr>
          <w:rFonts w:ascii="FrankRuehl" w:hAnsi="FrankRuehl" w:cs="FrankRuehl"/>
          <w:b/>
          <w:bCs/>
          <w:color w:val="000000"/>
          <w:spacing w:val="10"/>
          <w:sz w:val="28"/>
          <w:szCs w:val="28"/>
          <w:rtl/>
        </w:rPr>
        <w:t>ברק-ארז</w:t>
      </w:r>
      <w:r>
        <w:rPr>
          <w:rFonts w:ascii="FrankRuehl" w:hAnsi="FrankRuehl" w:cs="FrankRuehl"/>
          <w:color w:val="000000"/>
          <w:spacing w:val="10"/>
          <w:sz w:val="28"/>
          <w:szCs w:val="28"/>
          <w:rtl/>
        </w:rPr>
        <w:t>, 206-201, 440-439)."</w:t>
      </w:r>
    </w:p>
    <w:p w:rsidR="002D6887" w:rsidRDefault="002D6887" w:rsidP="002D6887">
      <w:pPr>
        <w:tabs>
          <w:tab w:val="left" w:pos="288"/>
          <w:tab w:val="left" w:pos="720"/>
          <w:tab w:val="left" w:pos="1296"/>
          <w:tab w:val="left" w:pos="2016"/>
        </w:tabs>
        <w:autoSpaceDE w:val="0"/>
        <w:autoSpaceDN w:val="0"/>
        <w:adjustRightInd w:val="0"/>
        <w:spacing w:after="80" w:line="260" w:lineRule="exact"/>
        <w:ind w:right="1276"/>
        <w:jc w:val="both"/>
        <w:rPr>
          <w:rFonts w:ascii="David" w:hAnsi="David"/>
          <w:rtl/>
        </w:rPr>
      </w:pPr>
    </w:p>
    <w:p w:rsidR="002D6887" w:rsidRDefault="002D6887" w:rsidP="002D6887">
      <w:pPr>
        <w:tabs>
          <w:tab w:val="left" w:pos="288"/>
          <w:tab w:val="left" w:pos="720"/>
          <w:tab w:val="left" w:pos="1296"/>
          <w:tab w:val="left" w:pos="2016"/>
        </w:tabs>
        <w:autoSpaceDE w:val="0"/>
        <w:autoSpaceDN w:val="0"/>
        <w:adjustRightInd w:val="0"/>
        <w:spacing w:after="80" w:line="260" w:lineRule="exact"/>
        <w:ind w:left="1508" w:right="567"/>
        <w:jc w:val="both"/>
        <w:rPr>
          <w:rFonts w:ascii="David" w:hAnsi="David"/>
          <w:rtl/>
        </w:rPr>
      </w:pPr>
      <w:r>
        <w:rPr>
          <w:rFonts w:ascii="David" w:hAnsi="David"/>
          <w:rtl/>
        </w:rPr>
        <w:t xml:space="preserve">בג"ץ 2777/18 </w:t>
      </w:r>
      <w:r>
        <w:rPr>
          <w:rFonts w:ascii="David" w:hAnsi="David"/>
          <w:b/>
          <w:bCs/>
          <w:rtl/>
        </w:rPr>
        <w:t>כרנז נ' מפקד כוחות צה"ל בעזה</w:t>
      </w:r>
      <w:r>
        <w:rPr>
          <w:rFonts w:ascii="David" w:hAnsi="David"/>
          <w:b/>
          <w:rtl/>
        </w:rPr>
        <w:t>, פסקה 4</w:t>
      </w:r>
      <w:r>
        <w:rPr>
          <w:rFonts w:ascii="David" w:hAnsi="David"/>
          <w:b/>
          <w:bCs/>
          <w:rtl/>
        </w:rPr>
        <w:t xml:space="preserve"> לפסק (</w:t>
      </w:r>
      <w:r>
        <w:rPr>
          <w:rFonts w:ascii="David" w:hAnsi="David"/>
          <w:rtl/>
        </w:rPr>
        <w:t xml:space="preserve">16.4.2018). ראו גם דברי כב' השופט מ' מזוז בפסקה 14 בעניין </w:t>
      </w:r>
      <w:r>
        <w:rPr>
          <w:rFonts w:ascii="David" w:hAnsi="David"/>
          <w:b/>
          <w:bCs/>
          <w:rtl/>
        </w:rPr>
        <w:t>אבו צעלוק</w:t>
      </w:r>
      <w:r>
        <w:rPr>
          <w:rFonts w:ascii="David" w:hAnsi="David"/>
          <w:rtl/>
        </w:rPr>
        <w:t>.</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ואמנם, איסור מוחלט שכזה, שאינו כולל ההתייחסות קונקרטית כלשהי לעניינו של האסיר הפרטני, מעורר קושי מובנה ביחס להתקיימות מבחן המשנה השני. </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כידוע, "</w:t>
      </w:r>
      <w:r>
        <w:rPr>
          <w:rFonts w:ascii="Miriam" w:hAnsi="Miriam" w:cs="Miriam"/>
          <w:sz w:val="24"/>
          <w:szCs w:val="24"/>
          <w:rtl/>
        </w:rPr>
        <w:t>הגבלה גורפת של זכות, אשר אינה מבוססת על בדיקה אינדיבידואלית, הינה אמצעי חשוד בחוסר מידתיות</w:t>
      </w:r>
      <w:r>
        <w:rPr>
          <w:rFonts w:ascii="David" w:hAnsi="David" w:cs="David"/>
          <w:sz w:val="24"/>
          <w:szCs w:val="24"/>
          <w:rtl/>
        </w:rPr>
        <w:t xml:space="preserve">", וגם במקרים בהם אין מנוס אלא לעשות כן הצורך לנקוט באמצעי </w:t>
      </w:r>
      <w:r>
        <w:rPr>
          <w:rFonts w:ascii="David" w:hAnsi="David" w:cs="David"/>
          <w:sz w:val="24"/>
          <w:szCs w:val="24"/>
          <w:rtl/>
        </w:rPr>
        <w:lastRenderedPageBreak/>
        <w:t xml:space="preserve">שפגיעתו פחותה עשוי לחייב קביעת מנגנון אשר יאפשר חריגים להסדר הגורף [עניין </w:t>
      </w:r>
      <w:proofErr w:type="spellStart"/>
      <w:r>
        <w:rPr>
          <w:rFonts w:ascii="David" w:hAnsi="David" w:cs="David"/>
          <w:b/>
          <w:bCs/>
          <w:sz w:val="24"/>
          <w:szCs w:val="24"/>
          <w:rtl/>
        </w:rPr>
        <w:t>ראעי</w:t>
      </w:r>
      <w:proofErr w:type="spellEnd"/>
      <w:r>
        <w:rPr>
          <w:rFonts w:ascii="David" w:hAnsi="David" w:cs="David"/>
          <w:sz w:val="24"/>
          <w:szCs w:val="24"/>
          <w:rtl/>
        </w:rPr>
        <w:t xml:space="preserve">, פסקה 27; בג"ץ 7052/03 </w:t>
      </w:r>
      <w:proofErr w:type="spellStart"/>
      <w:r>
        <w:rPr>
          <w:rFonts w:ascii="David" w:hAnsi="David" w:cs="David"/>
          <w:b/>
          <w:bCs/>
          <w:sz w:val="24"/>
          <w:szCs w:val="24"/>
          <w:rtl/>
        </w:rPr>
        <w:t>עדאלה</w:t>
      </w:r>
      <w:proofErr w:type="spellEnd"/>
      <w:r>
        <w:rPr>
          <w:rFonts w:ascii="David" w:hAnsi="David" w:cs="David"/>
          <w:b/>
          <w:bCs/>
          <w:sz w:val="24"/>
          <w:szCs w:val="24"/>
          <w:rtl/>
        </w:rPr>
        <w:t xml:space="preserve"> – המרכז המשפטי לזכויות המיעוט הערבי בישראל נ' שר הפנים</w:t>
      </w:r>
      <w:r>
        <w:rPr>
          <w:rFonts w:ascii="David" w:hAnsi="David" w:cs="David"/>
          <w:sz w:val="24"/>
          <w:szCs w:val="24"/>
          <w:rtl/>
        </w:rPr>
        <w:t xml:space="preserve">, פ"ד </w:t>
      </w:r>
      <w:proofErr w:type="spellStart"/>
      <w:r>
        <w:rPr>
          <w:rFonts w:ascii="David" w:hAnsi="David" w:cs="David"/>
          <w:sz w:val="24"/>
          <w:szCs w:val="24"/>
          <w:rtl/>
        </w:rPr>
        <w:t>סא</w:t>
      </w:r>
      <w:proofErr w:type="spellEnd"/>
      <w:r>
        <w:rPr>
          <w:rFonts w:ascii="David" w:hAnsi="David" w:cs="David"/>
          <w:sz w:val="24"/>
          <w:szCs w:val="24"/>
          <w:rtl/>
        </w:rPr>
        <w:t xml:space="preserve">(2) 202, 346-345 (2006) (להלן: </w:t>
      </w:r>
      <w:r>
        <w:rPr>
          <w:rFonts w:ascii="Miriam" w:hAnsi="Miriam" w:cs="Miriam"/>
          <w:b/>
          <w:bCs/>
          <w:sz w:val="24"/>
          <w:szCs w:val="24"/>
          <w:rtl/>
        </w:rPr>
        <w:t>בג"ץ 7053/03</w:t>
      </w:r>
      <w:r>
        <w:rPr>
          <w:rFonts w:ascii="David" w:hAnsi="David" w:cs="David"/>
          <w:sz w:val="24"/>
          <w:szCs w:val="24"/>
          <w:rtl/>
        </w:rPr>
        <w:t xml:space="preserve">); בג"ץ 8276/05 </w:t>
      </w:r>
      <w:proofErr w:type="spellStart"/>
      <w:r>
        <w:rPr>
          <w:rFonts w:ascii="David" w:hAnsi="David" w:cs="David"/>
          <w:b/>
          <w:bCs/>
          <w:sz w:val="24"/>
          <w:szCs w:val="24"/>
          <w:rtl/>
        </w:rPr>
        <w:t>עדאלה</w:t>
      </w:r>
      <w:proofErr w:type="spellEnd"/>
      <w:r>
        <w:rPr>
          <w:rFonts w:ascii="David" w:hAnsi="David" w:cs="David"/>
          <w:b/>
          <w:bCs/>
          <w:sz w:val="24"/>
          <w:szCs w:val="24"/>
          <w:rtl/>
        </w:rPr>
        <w:t xml:space="preserve"> – המרכז המשפטי לזכויות המיעוט הערבי בישראל נ' שר הביטחון</w:t>
      </w:r>
      <w:r>
        <w:rPr>
          <w:rFonts w:ascii="David" w:hAnsi="David" w:cs="David"/>
          <w:sz w:val="24"/>
          <w:szCs w:val="24"/>
          <w:rtl/>
        </w:rPr>
        <w:t xml:space="preserve">, פ"ד סב(1) 1, 43 (2006); עניין </w:t>
      </w:r>
      <w:r>
        <w:rPr>
          <w:rFonts w:ascii="David" w:hAnsi="David" w:cs="David"/>
          <w:b/>
          <w:bCs/>
          <w:sz w:val="24"/>
          <w:szCs w:val="24"/>
          <w:rtl/>
        </w:rPr>
        <w:t>אל עביד</w:t>
      </w:r>
      <w:r>
        <w:rPr>
          <w:rFonts w:ascii="David" w:hAnsi="David" w:cs="David"/>
          <w:sz w:val="24"/>
          <w:szCs w:val="24"/>
          <w:rtl/>
        </w:rPr>
        <w:t xml:space="preserve">, עמ' 714 מול האות ז; עניין </w:t>
      </w:r>
      <w:proofErr w:type="spellStart"/>
      <w:r>
        <w:rPr>
          <w:rFonts w:ascii="David" w:hAnsi="David" w:cs="David"/>
          <w:b/>
          <w:bCs/>
          <w:sz w:val="24"/>
          <w:szCs w:val="24"/>
          <w:rtl/>
        </w:rPr>
        <w:t>צלאח</w:t>
      </w:r>
      <w:proofErr w:type="spellEnd"/>
      <w:r>
        <w:rPr>
          <w:rFonts w:ascii="David" w:hAnsi="David" w:cs="David"/>
          <w:sz w:val="24"/>
          <w:szCs w:val="24"/>
          <w:rtl/>
        </w:rPr>
        <w:t xml:space="preserve">, פסקה 26 לפסק דינה של הנשיאה מ' נ]. </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בענייננו שלנו לא נקבעו חריגים להסדר הכולל, והמשיבים אף אינם רשאים להפעיל שיקול דעת ביחס לסיווגם של האסירים תושבי הרשות הפלסטינית. סיווג זה נקבע לפי מקום </w:t>
      </w:r>
      <w:proofErr w:type="spellStart"/>
      <w:r>
        <w:rPr>
          <w:rFonts w:ascii="David" w:hAnsi="David" w:cs="David"/>
          <w:sz w:val="24"/>
          <w:szCs w:val="24"/>
          <w:rtl/>
        </w:rPr>
        <w:t>תושבותם</w:t>
      </w:r>
      <w:proofErr w:type="spellEnd"/>
      <w:r>
        <w:rPr>
          <w:rFonts w:ascii="David" w:hAnsi="David" w:cs="David"/>
          <w:sz w:val="24"/>
          <w:szCs w:val="24"/>
          <w:rtl/>
        </w:rPr>
        <w:t xml:space="preserve"> של האסירים, ומטבע הדברים – כיוון שהאסיר נתון במשמורת ולאור דיני ההתאזרחות הנוהגים במדינת ישראל – במצב הדברים הרגיל זהו נתון שאינו בר שינוי. בכך שונה לרעה מצבה של קבוצת אסירים זו ממצבה של קבוצת האסירים הביטחוניים שיכולים בהתנהגותם להביא להוצאתם מן הקבוצה שהשתייכות אליה מצדיקה הסדר גורף.</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כל זאת בניגוד למצב ששרר עובר לשינוי הפקודה בשנת 2015. אז הותירו המשיבים פתח לנציב לאשר חופשה "רגילה" לאסיר תושב הרשות הפלסטינית, אם ניתן היה להגיע למסקנה ברורה וחד משמעית כי בעניינו לא מתקיימת חזקת המסוכנות. לאחר תיקון הפקודה לא נותר לנציב פתח להפעלת שיקול הדעת ביחס לחופשה "רגילה" לאסיר תושב הרשות הפלסטינית, גם אם ניתן לסתור בעניינו את חזקת המסוכנות.</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המשיבים סבורים כי אין מקום ליצור חריגים לכלל הגורף שנקבע ביחס לאפשרות להוציא ל"חופשה רגילה" אסירים תושבי הרשות הפלסטינית. עמדה זו לא אוכל לקבל.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spacing w:line="360" w:lineRule="auto"/>
        <w:ind w:left="84" w:firstLine="636"/>
        <w:jc w:val="both"/>
        <w:rPr>
          <w:rFonts w:ascii="David" w:hAnsi="David"/>
        </w:rPr>
      </w:pPr>
      <w:r>
        <w:rPr>
          <w:rFonts w:ascii="David" w:hAnsi="David"/>
          <w:rtl/>
        </w:rPr>
        <w:t>לא השתכנעתי כי בעניינם של אסירים השייכים לקבוצה זו מלכתחילה ראוי היה לקבוע הסדר גורף, נטול חריגים, כפי שמוצדק היה לעשות ביחס לאוכלוסיית האסירים הביטחוניים הנגועים במסוכנות אישית גבוהה. הסדר גורף שכזה אינו צולח את מבחן המידתיות השני.</w:t>
      </w:r>
    </w:p>
    <w:p w:rsidR="002D6887" w:rsidRDefault="002D6887" w:rsidP="002D6887">
      <w:pPr>
        <w:pStyle w:val="ae"/>
        <w:spacing w:after="0" w:line="360" w:lineRule="auto"/>
        <w:ind w:left="84" w:firstLine="636"/>
        <w:jc w:val="both"/>
        <w:rPr>
          <w:rFonts w:ascii="David" w:hAnsi="David" w:cs="David"/>
          <w:sz w:val="24"/>
          <w:szCs w:val="24"/>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בנוסף עולה לטעמי ההסדר הגורף כדי הפליה אסורה בין קבוצת האסירים תושבי הרשות הפלסטינית ליתר האסירים השוהים בבתי הכלא, ובראש ובראשונה כלפי האסירים הזרים – שיכולים לצאת לחופשה "רגילה" בתנאים מסוימים, ואף כלפי האסירים הביטחוניים – שחזקת המסוכנות בעניינם והחשש שלא ישובו מחופשתם עולים עשרות מונים על אלה המתקיימים באסירים תושבי הרשות הפלסטינית, ובכל זאת יכולים הם לשכנע שאין עוד לסווגם בקבוצה זו, ובכך ייפתח פתח ליציאתם לחופשה "רגילה".</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u w:val="single"/>
          <w:rtl/>
        </w:rPr>
        <w:t>המבחן השלישי</w:t>
      </w:r>
      <w:r>
        <w:rPr>
          <w:rFonts w:ascii="David" w:hAnsi="David" w:cs="David"/>
          <w:sz w:val="24"/>
          <w:szCs w:val="24"/>
          <w:rtl/>
        </w:rPr>
        <w:t xml:space="preserve"> הוא מבחן </w:t>
      </w:r>
      <w:r>
        <w:rPr>
          <w:rFonts w:ascii="David" w:hAnsi="David" w:cs="David"/>
          <w:b/>
          <w:bCs/>
          <w:sz w:val="24"/>
          <w:szCs w:val="24"/>
          <w:rtl/>
        </w:rPr>
        <w:t>המידתיות "במובן הצר"</w:t>
      </w:r>
      <w:r>
        <w:rPr>
          <w:rFonts w:ascii="David" w:hAnsi="David" w:cs="David"/>
          <w:sz w:val="24"/>
          <w:szCs w:val="24"/>
          <w:rtl/>
        </w:rPr>
        <w:t xml:space="preserve">. במסגרת מבחן זה יש לבחון אם מתקיים יחס ראוי בין התועלת הצומחת מהגשמת המטרה לבין הפגיעה בזכויות הפרט הנלוות לה.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lastRenderedPageBreak/>
        <w:t xml:space="preserve">מאותם טעמים שהובאו לעיל סבורני כי לא מתקיים יחס ראוי כנדרש בין התועלת הצומחת מהגשמת המטרה בדרך של יצירת הסדר גורף לבין הפגיעה בזכויות הפרט של האסירים תושבי הרשות הפלסטינית. ודוק: כפי שכבר צוין, לא זו בלבד שלחופשה "רגילה" תועלות חשובות כמפורט בסעיף ב'1 לפקודה, שילוב האסיר בחופשות מסוג זה השפעה מכרעת על היבטים חשובים לא פחות, כגון השתלבות בעבודה, במסגרות מתקדמות של שיקום ובעיקר – על היכולת לשכנע את ועדת השחרורים לקצר את מאסרו. יצוין כי את הפגיעה המשמעותית בהליך לפני ועדת השחרורים ניתן היה לסווג כפגיעה בזכות להליך הוגן (השוו: עניין </w:t>
      </w:r>
      <w:proofErr w:type="spellStart"/>
      <w:r>
        <w:rPr>
          <w:rFonts w:ascii="David" w:hAnsi="David" w:cs="David"/>
          <w:b/>
          <w:bCs/>
          <w:sz w:val="24"/>
          <w:szCs w:val="24"/>
          <w:rtl/>
        </w:rPr>
        <w:t>ראעי</w:t>
      </w:r>
      <w:proofErr w:type="spellEnd"/>
      <w:r>
        <w:rPr>
          <w:rFonts w:ascii="David" w:hAnsi="David" w:cs="David"/>
          <w:sz w:val="24"/>
          <w:szCs w:val="24"/>
          <w:rtl/>
        </w:rPr>
        <w:t>), אך לא ארחיב בעניין זה משלא נשמעו לפנַי טיעונים ברוח זו.</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הנה כי כן, מוצדק היה לקבוע הסדר </w:t>
      </w:r>
      <w:r>
        <w:rPr>
          <w:rFonts w:ascii="David" w:hAnsi="David" w:cs="David"/>
          <w:b/>
          <w:bCs/>
          <w:sz w:val="24"/>
          <w:szCs w:val="24"/>
          <w:rtl/>
        </w:rPr>
        <w:t>מבחין</w:t>
      </w:r>
      <w:r>
        <w:rPr>
          <w:rFonts w:ascii="David" w:hAnsi="David" w:cs="David"/>
          <w:sz w:val="24"/>
          <w:szCs w:val="24"/>
          <w:rtl/>
        </w:rPr>
        <w:t xml:space="preserve"> לעניין מתן חופשה "רגילה" בעניינם של האסירים תושבי הרשות הפלסטינית. ועם זה, תוספת התועלת הגלומה ביצירת הסדר </w:t>
      </w:r>
      <w:r>
        <w:rPr>
          <w:rFonts w:ascii="David" w:hAnsi="David" w:cs="David"/>
          <w:b/>
          <w:bCs/>
          <w:sz w:val="24"/>
          <w:szCs w:val="24"/>
          <w:rtl/>
        </w:rPr>
        <w:t>גורף</w:t>
      </w:r>
      <w:r>
        <w:rPr>
          <w:rFonts w:ascii="David" w:hAnsi="David" w:cs="David"/>
          <w:sz w:val="24"/>
          <w:szCs w:val="24"/>
          <w:rtl/>
        </w:rPr>
        <w:t xml:space="preserve"> ונטול חריגים לא הצדיקה לדעתי פגיעה כה חמורה בזכויות הפרט של אסירים אלה, ויש בה יסוד מפלה. בהקשר זה יצוין כי המשיבים לא סיפקו נתונים בנוגע למספר האסירים תושבי הרשות הפלסטינית שעשויים להגיש בקשה לחופשה "רגילה" בהינתן התנאים המחמירים שהיו קיימים בפקודה ערב תיקונה בשנת 2015, ולא הוכיחו כי הדבר ידרוש משאבים יוצאי דופן.</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מסקנה זו מתחייבת מכללי המשפט </w:t>
      </w:r>
      <w:proofErr w:type="spellStart"/>
      <w:r>
        <w:rPr>
          <w:rFonts w:ascii="David" w:hAnsi="David" w:cs="David"/>
          <w:sz w:val="24"/>
          <w:szCs w:val="24"/>
          <w:rtl/>
        </w:rPr>
        <w:t>המינהלי</w:t>
      </w:r>
      <w:proofErr w:type="spellEnd"/>
      <w:r>
        <w:rPr>
          <w:rFonts w:ascii="David" w:hAnsi="David" w:cs="David"/>
          <w:sz w:val="24"/>
          <w:szCs w:val="24"/>
          <w:rtl/>
        </w:rPr>
        <w:t xml:space="preserve">. אין בה משום החלפת שיקול דעתו המקצועי של נציב שירות בתי הסוהר בשיקול דעתו של בית המשפט. </w:t>
      </w:r>
    </w:p>
    <w:p w:rsidR="002D6887" w:rsidRDefault="002D6887" w:rsidP="002D6887">
      <w:pPr>
        <w:pStyle w:val="ae"/>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חשוב לציין כי המשיבים לא השכילו להסביר מדוע ראו לסטות בשנת 2015 מן ההסדר הקודם, שעבר כאמור ביקורת חוקתית על ידי בית המשפט העליון במסגרת </w:t>
      </w:r>
      <w:r>
        <w:rPr>
          <w:rFonts w:ascii="David" w:hAnsi="David" w:cs="David"/>
          <w:b/>
          <w:bCs/>
          <w:sz w:val="24"/>
          <w:szCs w:val="24"/>
          <w:rtl/>
        </w:rPr>
        <w:t>רע"ב 6023/26</w:t>
      </w:r>
      <w:r>
        <w:rPr>
          <w:rFonts w:ascii="David" w:hAnsi="David" w:cs="David"/>
          <w:sz w:val="24"/>
          <w:szCs w:val="24"/>
          <w:rtl/>
        </w:rPr>
        <w:t>. עמדתם, שנדחתה על ידי, הייתה שלא נעשה כל שינוי מהותי בפקודה.</w:t>
      </w:r>
    </w:p>
    <w:p w:rsidR="002D6887" w:rsidRDefault="002D6887" w:rsidP="002D6887">
      <w:pPr>
        <w:pStyle w:val="ae"/>
        <w:spacing w:after="0" w:line="360" w:lineRule="auto"/>
        <w:ind w:left="84" w:firstLine="636"/>
        <w:jc w:val="both"/>
        <w:rPr>
          <w:rFonts w:ascii="David" w:hAnsi="David" w:cs="David"/>
          <w:sz w:val="24"/>
          <w:szCs w:val="24"/>
          <w:rtl/>
        </w:rPr>
      </w:pPr>
    </w:p>
    <w:p w:rsidR="00E14BDF" w:rsidRDefault="00E14BDF" w:rsidP="002D6887">
      <w:pPr>
        <w:pStyle w:val="ae"/>
        <w:spacing w:after="0" w:line="360" w:lineRule="auto"/>
        <w:ind w:left="84" w:firstLine="636"/>
        <w:jc w:val="both"/>
        <w:rPr>
          <w:rFonts w:ascii="David" w:hAnsi="David" w:cs="David"/>
          <w:sz w:val="24"/>
          <w:szCs w:val="24"/>
          <w:rtl/>
        </w:rPr>
      </w:pPr>
    </w:p>
    <w:p w:rsidR="002D6887" w:rsidRDefault="002D6887" w:rsidP="002D6887">
      <w:pPr>
        <w:spacing w:line="360" w:lineRule="auto"/>
        <w:ind w:firstLine="84"/>
        <w:jc w:val="both"/>
        <w:rPr>
          <w:rFonts w:ascii="David" w:hAnsi="David"/>
          <w:b/>
          <w:bCs/>
          <w:sz w:val="26"/>
          <w:szCs w:val="26"/>
          <w:u w:val="single"/>
          <w:rtl/>
        </w:rPr>
      </w:pPr>
      <w:r>
        <w:rPr>
          <w:rFonts w:ascii="David" w:hAnsi="David"/>
          <w:b/>
          <w:bCs/>
          <w:sz w:val="26"/>
          <w:szCs w:val="26"/>
          <w:u w:val="single"/>
          <w:rtl/>
        </w:rPr>
        <w:t>סיכום</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סיכומו של דבר, שלא נמצא פגם בהחלטת נציב שב"ס לקבוע התייחסות שונה ומחמירה ביחס לאפשרות הוצאתם לחופשה "רגילה" של אסירים תושבי הרשות הפלסטינית – עד כדי יצירת חזקת מסוכנות, שניתנת לסתירה, כפו שנעשה למשל בדין שקדם לתיקון 2015 לפקודה.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ואולם, ההסדר הגורף, שאינו מאפשר בשום תנאי מתן חופשה "רגילה" לאסיר תושב הרשות הפלסטינית, אינו צולח את מבחן המידתיות, בדגש על מבחני המשנה השני והשלישי [השוו דברי כב' השופטת (כתוארה אז) א' חיות ב</w:t>
      </w:r>
      <w:r>
        <w:rPr>
          <w:rFonts w:ascii="David" w:hAnsi="David" w:cs="David"/>
          <w:b/>
          <w:bCs/>
          <w:sz w:val="24"/>
          <w:szCs w:val="24"/>
          <w:rtl/>
        </w:rPr>
        <w:t>בג"ץ 7052/03</w:t>
      </w:r>
      <w:r>
        <w:rPr>
          <w:rFonts w:ascii="David" w:hAnsi="David" w:cs="David"/>
          <w:sz w:val="24"/>
          <w:szCs w:val="24"/>
          <w:rtl/>
        </w:rPr>
        <w:t xml:space="preserve"> (פסקה 5 לפסק דינה)], ואינו עולה בקנה אחד עם פסיקת בית המשפט העליון </w:t>
      </w:r>
      <w:proofErr w:type="spellStart"/>
      <w:r>
        <w:rPr>
          <w:rFonts w:ascii="David" w:hAnsi="David" w:cs="David"/>
          <w:sz w:val="24"/>
          <w:szCs w:val="24"/>
          <w:rtl/>
        </w:rPr>
        <w:t>ב</w:t>
      </w:r>
      <w:r>
        <w:rPr>
          <w:rFonts w:ascii="David" w:hAnsi="David" w:cs="David"/>
          <w:b/>
          <w:bCs/>
          <w:sz w:val="24"/>
          <w:szCs w:val="24"/>
          <w:rtl/>
        </w:rPr>
        <w:t>רע"ב</w:t>
      </w:r>
      <w:proofErr w:type="spellEnd"/>
      <w:r>
        <w:rPr>
          <w:rFonts w:ascii="David" w:hAnsi="David" w:cs="David"/>
          <w:b/>
          <w:bCs/>
          <w:sz w:val="24"/>
          <w:szCs w:val="24"/>
          <w:rtl/>
        </w:rPr>
        <w:t xml:space="preserve"> 6023/06</w:t>
      </w:r>
      <w:r>
        <w:rPr>
          <w:rFonts w:ascii="David" w:hAnsi="David" w:cs="David"/>
          <w:sz w:val="24"/>
          <w:szCs w:val="24"/>
          <w:rtl/>
        </w:rPr>
        <w:t xml:space="preserve">, בו נדונו הוראות הפקודה בנוגע לאסירים תושבי הרשות הפלסטינית טרם תיקון 2015. </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lastRenderedPageBreak/>
        <w:t xml:space="preserve">זה המקום לומר כי יש לדחות בשתי ידיים את הטענה, כי לעולם אין לאפשר חופשות אסירים תושבי הרשות הפלסטינית בתחומי המדינה משום שאין הם מורשים לשהות בתחומה. </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Pr>
      </w:pPr>
      <w:r>
        <w:rPr>
          <w:rFonts w:ascii="David" w:hAnsi="David" w:cs="David"/>
          <w:sz w:val="24"/>
          <w:szCs w:val="24"/>
          <w:rtl/>
        </w:rPr>
        <w:t>נכון הדבר כי מתן היתר לאסיר מסוג זה לשהות בתחומי המדינה מעורר קושי, ואולם בהיתר זמני ומצומצם מאוד עסקינן, ובסוגיה קרובה – חלופת מעצר לאסיר תושב הרשות הפלסטינית בתחומי המדינה – פסק בית המשפט העליון כי הדבר אפשרי, אם כי ראוי שיישמר למקרים נדירים [</w:t>
      </w:r>
      <w:proofErr w:type="spellStart"/>
      <w:r>
        <w:rPr>
          <w:rFonts w:ascii="David" w:hAnsi="David" w:cs="David"/>
          <w:sz w:val="24"/>
          <w:szCs w:val="24"/>
          <w:rtl/>
        </w:rPr>
        <w:t>בש"פ</w:t>
      </w:r>
      <w:proofErr w:type="spellEnd"/>
      <w:r>
        <w:rPr>
          <w:rFonts w:ascii="David" w:hAnsi="David" w:cs="David"/>
          <w:sz w:val="24"/>
          <w:szCs w:val="24"/>
          <w:rtl/>
        </w:rPr>
        <w:t xml:space="preserve"> 6781/13 </w:t>
      </w:r>
      <w:proofErr w:type="spellStart"/>
      <w:r>
        <w:rPr>
          <w:rFonts w:ascii="David" w:hAnsi="David" w:cs="David"/>
          <w:b/>
          <w:bCs/>
          <w:sz w:val="24"/>
          <w:szCs w:val="24"/>
          <w:rtl/>
        </w:rPr>
        <w:t>קונדוס</w:t>
      </w:r>
      <w:proofErr w:type="spellEnd"/>
      <w:r>
        <w:rPr>
          <w:rFonts w:ascii="David" w:hAnsi="David" w:cs="David"/>
          <w:b/>
          <w:bCs/>
          <w:sz w:val="24"/>
          <w:szCs w:val="24"/>
          <w:rtl/>
        </w:rPr>
        <w:t xml:space="preserve"> נ' מדינת ישראל</w:t>
      </w:r>
      <w:r>
        <w:rPr>
          <w:rFonts w:ascii="David" w:hAnsi="David" w:cs="David"/>
          <w:sz w:val="24"/>
          <w:szCs w:val="24"/>
          <w:rtl/>
        </w:rPr>
        <w:t xml:space="preserve"> (4.11.2013), פסקה 15 להחלטה). ראו גם ראו: </w:t>
      </w:r>
      <w:proofErr w:type="spellStart"/>
      <w:r>
        <w:rPr>
          <w:rFonts w:ascii="David" w:hAnsi="David" w:cs="David"/>
          <w:sz w:val="24"/>
          <w:szCs w:val="24"/>
          <w:rtl/>
        </w:rPr>
        <w:t>בש"פ</w:t>
      </w:r>
      <w:proofErr w:type="spellEnd"/>
      <w:r>
        <w:rPr>
          <w:rFonts w:ascii="David" w:hAnsi="David" w:cs="David"/>
          <w:sz w:val="24"/>
          <w:szCs w:val="24"/>
          <w:rtl/>
        </w:rPr>
        <w:t xml:space="preserve"> 743/15 </w:t>
      </w:r>
      <w:r>
        <w:rPr>
          <w:rFonts w:ascii="David" w:hAnsi="David" w:cs="David"/>
          <w:b/>
          <w:bCs/>
          <w:sz w:val="24"/>
          <w:szCs w:val="24"/>
          <w:rtl/>
        </w:rPr>
        <w:t>פלוני נ' מדינת ישראל</w:t>
      </w:r>
      <w:r>
        <w:rPr>
          <w:rFonts w:ascii="David" w:hAnsi="David" w:cs="David"/>
          <w:sz w:val="24"/>
          <w:szCs w:val="24"/>
          <w:rtl/>
        </w:rPr>
        <w:t xml:space="preserve"> (22.2.2015); </w:t>
      </w:r>
      <w:proofErr w:type="spellStart"/>
      <w:r>
        <w:rPr>
          <w:rFonts w:ascii="David" w:hAnsi="David" w:cs="David"/>
          <w:sz w:val="24"/>
          <w:szCs w:val="24"/>
          <w:rtl/>
        </w:rPr>
        <w:t>בש"פ</w:t>
      </w:r>
      <w:proofErr w:type="spellEnd"/>
      <w:r>
        <w:rPr>
          <w:rFonts w:ascii="David" w:hAnsi="David" w:cs="David"/>
          <w:sz w:val="24"/>
          <w:szCs w:val="24"/>
          <w:rtl/>
        </w:rPr>
        <w:t xml:space="preserve"> 3952/14 </w:t>
      </w:r>
      <w:proofErr w:type="spellStart"/>
      <w:r>
        <w:rPr>
          <w:rFonts w:ascii="David" w:hAnsi="David" w:cs="David"/>
          <w:b/>
          <w:bCs/>
          <w:sz w:val="24"/>
          <w:szCs w:val="24"/>
          <w:rtl/>
        </w:rPr>
        <w:t>נעאלוה</w:t>
      </w:r>
      <w:proofErr w:type="spellEnd"/>
      <w:r>
        <w:rPr>
          <w:rFonts w:ascii="David" w:hAnsi="David" w:cs="David"/>
          <w:b/>
          <w:bCs/>
          <w:sz w:val="24"/>
          <w:szCs w:val="24"/>
          <w:rtl/>
        </w:rPr>
        <w:t xml:space="preserve"> נ' מדינת ישראל</w:t>
      </w:r>
      <w:r>
        <w:rPr>
          <w:rFonts w:ascii="David" w:hAnsi="David" w:cs="David"/>
          <w:sz w:val="24"/>
          <w:szCs w:val="24"/>
          <w:rtl/>
        </w:rPr>
        <w:t xml:space="preserve"> (16.6.2014); </w:t>
      </w:r>
      <w:proofErr w:type="spellStart"/>
      <w:r>
        <w:rPr>
          <w:rFonts w:ascii="David" w:hAnsi="David" w:cs="David"/>
          <w:sz w:val="24"/>
          <w:szCs w:val="24"/>
          <w:rtl/>
        </w:rPr>
        <w:t>בש"פ</w:t>
      </w:r>
      <w:proofErr w:type="spellEnd"/>
      <w:r>
        <w:rPr>
          <w:rFonts w:ascii="David" w:hAnsi="David" w:cs="David"/>
          <w:sz w:val="24"/>
          <w:szCs w:val="24"/>
          <w:rtl/>
        </w:rPr>
        <w:t xml:space="preserve"> 2628/12 </w:t>
      </w:r>
      <w:r>
        <w:rPr>
          <w:rFonts w:ascii="David" w:hAnsi="David" w:cs="David"/>
          <w:b/>
          <w:bCs/>
          <w:sz w:val="24"/>
          <w:szCs w:val="24"/>
          <w:rtl/>
        </w:rPr>
        <w:t>טל נ' מדינת ישראל</w:t>
      </w:r>
      <w:r>
        <w:rPr>
          <w:rFonts w:ascii="David" w:hAnsi="David" w:cs="David"/>
          <w:sz w:val="24"/>
          <w:szCs w:val="24"/>
          <w:rtl/>
        </w:rPr>
        <w:t xml:space="preserve"> (29.4.2012); </w:t>
      </w:r>
      <w:proofErr w:type="spellStart"/>
      <w:r>
        <w:rPr>
          <w:rFonts w:ascii="David" w:hAnsi="David" w:cs="David"/>
          <w:sz w:val="24"/>
          <w:szCs w:val="24"/>
          <w:rtl/>
        </w:rPr>
        <w:t>בש"פ</w:t>
      </w:r>
      <w:proofErr w:type="spellEnd"/>
      <w:r>
        <w:rPr>
          <w:rFonts w:ascii="David" w:hAnsi="David" w:cs="David"/>
          <w:sz w:val="24"/>
          <w:szCs w:val="24"/>
          <w:rtl/>
        </w:rPr>
        <w:t xml:space="preserve"> 4253/17 </w:t>
      </w:r>
      <w:r>
        <w:rPr>
          <w:rFonts w:ascii="David" w:hAnsi="David" w:cs="David"/>
          <w:b/>
          <w:bCs/>
          <w:sz w:val="24"/>
          <w:szCs w:val="24"/>
          <w:rtl/>
        </w:rPr>
        <w:t>דבש נ' מדינת ישראל</w:t>
      </w:r>
      <w:r>
        <w:rPr>
          <w:rFonts w:ascii="David" w:hAnsi="David" w:cs="David"/>
          <w:sz w:val="24"/>
          <w:szCs w:val="24"/>
          <w:rtl/>
        </w:rPr>
        <w:t xml:space="preserve"> (18.6.2017); </w:t>
      </w:r>
      <w:proofErr w:type="spellStart"/>
      <w:r>
        <w:rPr>
          <w:rFonts w:ascii="David" w:hAnsi="David" w:cs="David"/>
          <w:sz w:val="24"/>
          <w:szCs w:val="24"/>
          <w:rtl/>
        </w:rPr>
        <w:t>בש"פ</w:t>
      </w:r>
      <w:proofErr w:type="spellEnd"/>
      <w:r>
        <w:rPr>
          <w:rFonts w:ascii="David" w:hAnsi="David" w:cs="David"/>
          <w:sz w:val="24"/>
          <w:szCs w:val="24"/>
          <w:rtl/>
        </w:rPr>
        <w:t xml:space="preserve"> 3797/15 </w:t>
      </w:r>
      <w:r>
        <w:rPr>
          <w:rFonts w:ascii="David" w:hAnsi="David" w:cs="David"/>
          <w:b/>
          <w:bCs/>
          <w:sz w:val="24"/>
          <w:szCs w:val="24"/>
          <w:rtl/>
        </w:rPr>
        <w:t>פלוני נ' מדינת ישראל</w:t>
      </w:r>
      <w:r>
        <w:rPr>
          <w:rFonts w:ascii="David" w:hAnsi="David" w:cs="David"/>
          <w:sz w:val="24"/>
          <w:szCs w:val="24"/>
          <w:rtl/>
        </w:rPr>
        <w:t xml:space="preserve"> (11.6.2015)].</w:t>
      </w:r>
    </w:p>
    <w:p w:rsidR="002D6887" w:rsidRDefault="002D6887" w:rsidP="002D6887">
      <w:pPr>
        <w:pStyle w:val="ae"/>
        <w:spacing w:after="0" w:line="360" w:lineRule="auto"/>
        <w:ind w:left="84" w:firstLine="636"/>
        <w:jc w:val="both"/>
        <w:rPr>
          <w:rFonts w:ascii="David" w:hAnsi="David" w:cs="David"/>
          <w:sz w:val="24"/>
          <w:szCs w:val="24"/>
          <w:rtl/>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ודוק: קושי כאמור אמור היה להתעורר, ומן הסתם אף התעורר, גם בעת הביקורת השיפוטית שעברו נוסחי הפקודה הקודמים. והנה, בשני פסקי הדין של בית המשפט העליון שהוזכרו למעלה לא התקבלה עמדת המדינה כי מדובר בשיקול-סף, שמונע קטיגורית מתן חופשה רגילה לאסירים תושבי הרשות הפלסטינית. </w:t>
      </w:r>
    </w:p>
    <w:p w:rsidR="002D6887" w:rsidRDefault="002D6887" w:rsidP="002D6887">
      <w:pPr>
        <w:pStyle w:val="ae"/>
        <w:spacing w:after="0" w:line="360" w:lineRule="auto"/>
        <w:ind w:left="84"/>
        <w:jc w:val="both"/>
        <w:rPr>
          <w:rFonts w:ascii="David" w:hAnsi="David" w:cs="David"/>
          <w:sz w:val="24"/>
          <w:szCs w:val="24"/>
          <w:rtl/>
        </w:rPr>
      </w:pPr>
    </w:p>
    <w:p w:rsidR="00E14BDF" w:rsidRDefault="00E14BDF">
      <w:pPr>
        <w:bidi w:val="0"/>
        <w:rPr>
          <w:rFonts w:ascii="David" w:eastAsiaTheme="minorHAnsi" w:hAnsi="David"/>
          <w:noProof w:val="0"/>
          <w:rtl/>
        </w:rPr>
      </w:pPr>
      <w:r>
        <w:rPr>
          <w:rFonts w:ascii="David" w:hAnsi="David"/>
          <w:rtl/>
        </w:rPr>
        <w:br w:type="page"/>
      </w:r>
    </w:p>
    <w:p w:rsidR="002D6887" w:rsidRDefault="002D6887" w:rsidP="002D6887">
      <w:pPr>
        <w:spacing w:line="360" w:lineRule="auto"/>
        <w:ind w:firstLine="84"/>
        <w:jc w:val="both"/>
        <w:rPr>
          <w:rFonts w:ascii="David" w:hAnsi="David"/>
          <w:b/>
          <w:bCs/>
          <w:sz w:val="26"/>
          <w:szCs w:val="26"/>
          <w:u w:val="single"/>
        </w:rPr>
      </w:pPr>
      <w:r>
        <w:rPr>
          <w:rFonts w:ascii="David" w:hAnsi="David"/>
          <w:b/>
          <w:bCs/>
          <w:sz w:val="26"/>
          <w:szCs w:val="26"/>
          <w:u w:val="single"/>
          <w:rtl/>
        </w:rPr>
        <w:lastRenderedPageBreak/>
        <w:t>התוצאה</w:t>
      </w: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 xml:space="preserve">ההסדר הגורף שעוצב בפקודה בשנת 2015 בכל הקשור למתן חופשה "רגילה" לאסירים תושבי הרשות הפלסטינית שאינם אסירים ביטחוניים אינו עומד בכללי המשפט </w:t>
      </w:r>
      <w:proofErr w:type="spellStart"/>
      <w:r>
        <w:rPr>
          <w:rFonts w:ascii="David" w:hAnsi="David" w:cs="David"/>
          <w:sz w:val="24"/>
          <w:szCs w:val="24"/>
          <w:rtl/>
        </w:rPr>
        <w:t>המינהלי</w:t>
      </w:r>
      <w:proofErr w:type="spellEnd"/>
      <w:r>
        <w:rPr>
          <w:rFonts w:ascii="David" w:hAnsi="David" w:cs="David"/>
          <w:sz w:val="24"/>
          <w:szCs w:val="24"/>
          <w:rtl/>
        </w:rPr>
        <w:t>, ואני מכריז על בטלותו.</w:t>
      </w:r>
    </w:p>
    <w:p w:rsidR="002D6887" w:rsidRDefault="002D6887" w:rsidP="002D6887">
      <w:pPr>
        <w:pStyle w:val="ae"/>
        <w:spacing w:after="0" w:line="360" w:lineRule="auto"/>
        <w:ind w:left="84"/>
        <w:jc w:val="both"/>
        <w:rPr>
          <w:rFonts w:ascii="David" w:hAnsi="David" w:cs="David"/>
          <w:sz w:val="24"/>
          <w:szCs w:val="24"/>
          <w:rtl/>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על המשיבים לעצב הסדר מידתי ביחס לקבוצת אסירים זו תוך 6 חודשים. </w:t>
      </w:r>
    </w:p>
    <w:p w:rsidR="002D6887" w:rsidRDefault="002D6887" w:rsidP="002D6887">
      <w:pPr>
        <w:pStyle w:val="ae"/>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tl/>
        </w:rPr>
      </w:pPr>
      <w:r>
        <w:rPr>
          <w:rFonts w:ascii="David" w:hAnsi="David" w:cs="David"/>
          <w:sz w:val="24"/>
          <w:szCs w:val="24"/>
          <w:rtl/>
        </w:rPr>
        <w:t>עד לעיצוב ההסדר החדש יחולו בנושא החופשות הרגילות של אסירים תושבי הרשות הפלסטינית הוראות הפקודה ערב תיקון 2015, אשר קבעו לגביהם "חזקת מסוכנות" משמעותית, אך בצד זה הקנו כאמור לנציב שירות בתי הסוהר סמכות להוציא אסיר השייך לקבוצה זו לחופשה "רגילה" בהתקיים תנאים מסוימים.</w:t>
      </w:r>
    </w:p>
    <w:p w:rsidR="002D6887" w:rsidRDefault="002D6887" w:rsidP="002D6887">
      <w:pPr>
        <w:pStyle w:val="ae"/>
        <w:rPr>
          <w:rFonts w:ascii="David" w:hAnsi="David" w:cs="David"/>
          <w:sz w:val="24"/>
          <w:szCs w:val="24"/>
        </w:rPr>
      </w:pPr>
    </w:p>
    <w:p w:rsidR="002D6887" w:rsidRDefault="002D6887" w:rsidP="002D6887">
      <w:pPr>
        <w:pStyle w:val="ae"/>
        <w:numPr>
          <w:ilvl w:val="0"/>
          <w:numId w:val="1"/>
        </w:numPr>
        <w:spacing w:after="0" w:line="360" w:lineRule="auto"/>
        <w:ind w:left="84" w:firstLine="0"/>
        <w:jc w:val="both"/>
        <w:rPr>
          <w:rFonts w:ascii="David" w:hAnsi="David" w:cs="David"/>
          <w:sz w:val="24"/>
          <w:szCs w:val="24"/>
        </w:rPr>
      </w:pPr>
      <w:r>
        <w:rPr>
          <w:rFonts w:ascii="David" w:hAnsi="David" w:cs="David"/>
          <w:sz w:val="24"/>
          <w:szCs w:val="24"/>
          <w:rtl/>
        </w:rPr>
        <w:t xml:space="preserve">על שב"ס לבחון את בקשת העותר לצאת לחופשה "רגילה" בהתאם לדין שקדם לתיקון הפקודה בשנת 2015. </w:t>
      </w:r>
    </w:p>
    <w:p w:rsidR="002D6887" w:rsidRDefault="002D6887" w:rsidP="002D6887">
      <w:pPr>
        <w:pStyle w:val="ae"/>
        <w:rPr>
          <w:rFonts w:ascii="David" w:hAnsi="David" w:cs="David"/>
          <w:sz w:val="24"/>
          <w:szCs w:val="24"/>
        </w:rPr>
      </w:pPr>
    </w:p>
    <w:p w:rsidR="002D6887" w:rsidRDefault="002D6887" w:rsidP="002D6887">
      <w:pPr>
        <w:pStyle w:val="ae"/>
        <w:spacing w:after="0" w:line="360" w:lineRule="auto"/>
        <w:ind w:left="84" w:firstLine="636"/>
        <w:jc w:val="both"/>
        <w:rPr>
          <w:rFonts w:ascii="David" w:hAnsi="David" w:cs="David"/>
          <w:sz w:val="24"/>
          <w:szCs w:val="24"/>
          <w:rtl/>
        </w:rPr>
      </w:pPr>
      <w:r>
        <w:rPr>
          <w:rFonts w:ascii="David" w:hAnsi="David" w:cs="David"/>
          <w:sz w:val="24"/>
          <w:szCs w:val="24"/>
          <w:rtl/>
        </w:rPr>
        <w:t xml:space="preserve">אין צריך לומר כי בבחינת בקשת העותר לצאת לחופשה "רגילה" </w:t>
      </w:r>
      <w:proofErr w:type="spellStart"/>
      <w:r>
        <w:rPr>
          <w:rFonts w:ascii="David" w:hAnsi="David" w:cs="David"/>
          <w:sz w:val="24"/>
          <w:szCs w:val="24"/>
          <w:rtl/>
        </w:rPr>
        <w:t>יתן</w:t>
      </w:r>
      <w:proofErr w:type="spellEnd"/>
      <w:r>
        <w:rPr>
          <w:rFonts w:ascii="David" w:hAnsi="David" w:cs="David"/>
          <w:sz w:val="24"/>
          <w:szCs w:val="24"/>
          <w:rtl/>
        </w:rPr>
        <w:t xml:space="preserve"> שב"ס דעתו לכל ההיבטים הצריכים לעניין, ובכלל זה לחוות דעת שב"כ.</w:t>
      </w:r>
    </w:p>
    <w:p w:rsidR="002D6887" w:rsidRDefault="002D6887" w:rsidP="002D6887">
      <w:pPr>
        <w:spacing w:line="360" w:lineRule="auto"/>
        <w:jc w:val="both"/>
        <w:rPr>
          <w:rFonts w:ascii="Arial" w:hAnsi="Arial"/>
          <w:noProof w:val="0"/>
          <w:rtl/>
        </w:rPr>
      </w:pPr>
    </w:p>
    <w:p w:rsidR="002D6887" w:rsidRDefault="002D6887" w:rsidP="002D6887">
      <w:pPr>
        <w:spacing w:line="360" w:lineRule="auto"/>
        <w:jc w:val="both"/>
        <w:rPr>
          <w:rFonts w:ascii="Arial" w:hAnsi="Arial"/>
          <w:noProof w:val="0"/>
          <w:rtl/>
        </w:rPr>
      </w:pPr>
    </w:p>
    <w:p w:rsidR="002D6887" w:rsidRDefault="002D6887" w:rsidP="002D688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ט' טבת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דצמבר 2023</w:t>
          </w:r>
        </w:sdtContent>
      </w:sdt>
      <w:r>
        <w:rPr>
          <w:rFonts w:ascii="Arial" w:hAnsi="Arial"/>
          <w:noProof w:val="0"/>
          <w:rtl/>
        </w:rPr>
        <w:t>, בהעדר הצדדים.</w:t>
      </w:r>
    </w:p>
    <w:p w:rsidR="002D6887" w:rsidRDefault="00E22235" w:rsidP="002D6887">
      <w:pPr>
        <w:tabs>
          <w:tab w:val="left" w:pos="2553"/>
        </w:tabs>
        <w:ind w:left="5040"/>
        <w:rPr>
          <w:rtl/>
        </w:rPr>
      </w:pPr>
      <w:sdt>
        <w:sdtPr>
          <w:rPr>
            <w:rtl/>
          </w:rPr>
          <w:alias w:val="2045"/>
          <w:tag w:val="2045"/>
          <w:id w:val="-1493022031"/>
          <w:placeholder>
            <w:docPart w:val="A1983E97BB2A45ABAC9764863B4EF09D"/>
          </w:placeholder>
          <w:showingPlcHdr/>
          <w:text w:multiLine="1"/>
        </w:sdtPr>
        <w:sdtEndPr/>
        <w:sdtContent>
          <w:r w:rsidR="002D6887">
            <w:rPr>
              <w:rtl/>
            </w:rPr>
            <w:t xml:space="preserve">     </w:t>
          </w:r>
        </w:sdtContent>
      </w:sdt>
    </w:p>
    <w:p w:rsidR="002D6887" w:rsidRDefault="002D6887" w:rsidP="002D6887">
      <w:pPr>
        <w:tabs>
          <w:tab w:val="left" w:pos="2553"/>
        </w:tabs>
      </w:pPr>
      <w:r>
        <w:rPr>
          <w:rtl/>
        </w:rPr>
        <w:tab/>
      </w:r>
      <w:r>
        <w:rPr>
          <w:rtl/>
        </w:rPr>
        <w:tab/>
      </w:r>
      <w:r>
        <w:rPr>
          <w:rtl/>
        </w:rPr>
        <w:tab/>
      </w:r>
      <w:r>
        <w:rPr>
          <w:rtl/>
        </w:rPr>
        <w:tab/>
        <w:t xml:space="preserve">        </w:t>
      </w:r>
      <w:sdt>
        <w:sdtPr>
          <w:rPr>
            <w:rtl/>
          </w:rPr>
          <w:alias w:val="MergeField"/>
          <w:tag w:val="1237"/>
          <w:id w:val="1157187388"/>
        </w:sdtPr>
        <w:sdtEndPr/>
        <w:sdtContent>
          <w:r w:rsidR="00E22235">
            <w:drawing>
              <wp:inline distT="0" distB="0" distL="0" distR="0" wp14:editId="50D07946">
                <wp:extent cx="2108200" cy="124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108200" cy="1244600"/>
                        </a:xfrm>
                        <a:prstGeom prst="rect">
                          <a:avLst/>
                        </a:prstGeom>
                      </pic:spPr>
                    </pic:pic>
                  </a:graphicData>
                </a:graphic>
              </wp:inline>
            </w:drawing>
          </w:r>
        </w:sdtContent>
      </w:sdt>
    </w:p>
    <w:p w:rsidR="002D6887" w:rsidRDefault="002D6887" w:rsidP="002D6887">
      <w:pPr>
        <w:tabs>
          <w:tab w:val="left" w:pos="2553"/>
        </w:tabs>
        <w:rPr>
          <w:rtl/>
        </w:rPr>
      </w:pPr>
    </w:p>
    <w:p w:rsidR="002D6887" w:rsidRDefault="002D6887" w:rsidP="002D6887">
      <w:pPr>
        <w:tabs>
          <w:tab w:val="left" w:pos="2553"/>
        </w:tabs>
        <w:rPr>
          <w:rFonts w:ascii="Arial" w:hAnsi="Arial"/>
          <w:noProof w:val="0"/>
        </w:rPr>
      </w:pPr>
    </w:p>
    <w:p w:rsidR="003A1911" w:rsidRDefault="003A1911">
      <w:pPr>
        <w:spacing w:line="360" w:lineRule="auto"/>
        <w:jc w:val="both"/>
        <w:rPr>
          <w:rFonts w:ascii="Arial" w:hAnsi="Arial"/>
          <w:rtl/>
        </w:rPr>
      </w:pPr>
    </w:p>
    <w:p w:rsidR="003A1911" w:rsidRDefault="003A1911" w:rsidP="00160654">
      <w:pPr>
        <w:suppressLineNumbers/>
        <w:jc w:val="both"/>
        <w:rPr>
          <w:rFonts w:ascii="Arial" w:hAnsi="Arial"/>
          <w:rtl/>
        </w:rPr>
      </w:pPr>
    </w:p>
    <w:p w:rsidR="003A1911" w:rsidRDefault="003A1911" w:rsidP="00160654">
      <w:pPr>
        <w:suppressLineNumbers/>
        <w:jc w:val="both"/>
        <w:rPr>
          <w:rtl/>
        </w:rPr>
      </w:pPr>
    </w:p>
    <w:sectPr w:rsidR="003A1911" w:rsidSect="003F0CF4">
      <w:headerReference w:type="even" r:id="rId12"/>
      <w:headerReference w:type="default" r:id="rId13"/>
      <w:footerReference w:type="even" r:id="rId14"/>
      <w:footerReference w:type="default" r:id="rId15"/>
      <w:headerReference w:type="first" r:id="rId16"/>
      <w:footerReference w:type="first" r:id="rId17"/>
      <w:pgSz w:w="11907" w:h="16840" w:code="9"/>
      <w:pgMar w:top="244" w:right="1701" w:bottom="1134" w:left="1701" w:header="187" w:footer="56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911" w:rsidRDefault="009F2145">
      <w:r>
        <w:separator/>
      </w:r>
    </w:p>
  </w:endnote>
  <w:endnote w:type="continuationSeparator" w:id="0">
    <w:p w:rsidR="003A1911" w:rsidRDefault="009F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572" w:rsidRDefault="0000557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9F2145" w:rsidP="00CE45CA">
    <w:pPr>
      <w:pStyle w:val="a4"/>
      <w:rPr>
        <w:rtl/>
      </w:rPr>
    </w:pPr>
    <w:r>
      <w:tab/>
    </w:r>
    <w:r w:rsidR="00C05A6E">
      <w:fldChar w:fldCharType="begin"/>
    </w:r>
    <w:r>
      <w:instrText xml:space="preserve"> PAGE </w:instrText>
    </w:r>
    <w:r w:rsidR="00C05A6E">
      <w:fldChar w:fldCharType="separate"/>
    </w:r>
    <w:r w:rsidR="00E22235">
      <w:rPr>
        <w:rtl/>
      </w:rPr>
      <w:t>1</w:t>
    </w:r>
    <w:r w:rsidR="00C05A6E">
      <w:fldChar w:fldCharType="end"/>
    </w:r>
    <w:r>
      <w:t xml:space="preserve"> </w:t>
    </w:r>
    <w:r>
      <w:rPr>
        <w:rtl/>
      </w:rPr>
      <w:t>מתוך</w:t>
    </w:r>
    <w:r>
      <w:t xml:space="preserve"> </w:t>
    </w:r>
    <w:r w:rsidR="00C05A6E">
      <w:fldChar w:fldCharType="begin"/>
    </w:r>
    <w:r>
      <w:instrText xml:space="preserve"> NUMPAGES </w:instrText>
    </w:r>
    <w:r w:rsidR="00C05A6E">
      <w:fldChar w:fldCharType="separate"/>
    </w:r>
    <w:r w:rsidR="00E22235">
      <w:rPr>
        <w:rtl/>
      </w:rPr>
      <w:t>20</w:t>
    </w:r>
    <w:r w:rsidR="00C05A6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572" w:rsidRDefault="0000557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911" w:rsidRDefault="009F2145">
      <w:r>
        <w:separator/>
      </w:r>
    </w:p>
  </w:footnote>
  <w:footnote w:type="continuationSeparator" w:id="0">
    <w:p w:rsidR="003A1911" w:rsidRDefault="009F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572" w:rsidRDefault="0000557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616468">
    <w:pPr>
      <w:pStyle w:val="a3"/>
      <w:jc w:val="center"/>
      <w:rPr>
        <w:rFonts w:cs="FrankRuehl"/>
        <w:sz w:val="28"/>
        <w:szCs w:val="28"/>
        <w:rtl/>
      </w:rPr>
    </w:pPr>
    <w:r>
      <w:rPr>
        <w:rFonts w:cs="FrankRuehl"/>
        <w:sz w:val="28"/>
        <w:szCs w:val="28"/>
      </w:rPr>
      <w:drawing>
        <wp:inline distT="0" distB="0" distL="0" distR="0" wp14:anchorId="0D2CA90E" wp14:editId="055E47AB">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79"/>
      <w:gridCol w:w="1049"/>
      <w:gridCol w:w="3577"/>
    </w:tblGrid>
    <w:tr w:rsidR="003A1911" w:rsidTr="00EC73E8">
      <w:trPr>
        <w:trHeight w:hRule="exact" w:val="698"/>
        <w:jc w:val="center"/>
      </w:trPr>
      <w:tc>
        <w:tcPr>
          <w:tcW w:w="8721" w:type="dxa"/>
          <w:gridSpan w:val="3"/>
        </w:tcPr>
        <w:p w:rsidR="003A1911" w:rsidRDefault="00FE3C23" w:rsidP="00B76678">
          <w:pPr>
            <w:pStyle w:val="a3"/>
            <w:jc w:val="center"/>
            <w:rPr>
              <w:rFonts w:ascii="Tahoma" w:hAnsi="Tahoma" w:cs="Tahoma"/>
              <w:color w:val="000080"/>
              <w:rtl/>
            </w:rPr>
          </w:pPr>
          <w:r>
            <w:rPr>
              <w:rFonts w:ascii="Tahoma" w:hAnsi="Tahoma" w:hint="cs"/>
              <w:color w:val="000080"/>
              <w:sz w:val="32"/>
              <w:szCs w:val="32"/>
              <w:rtl/>
            </w:rPr>
            <w:t>בית משפט המחוזי מרכז-לוד</w:t>
          </w:r>
        </w:p>
      </w:tc>
    </w:tr>
    <w:tr w:rsidR="003A1911">
      <w:trPr>
        <w:trHeight w:val="337"/>
        <w:jc w:val="center"/>
      </w:trPr>
      <w:tc>
        <w:tcPr>
          <w:tcW w:w="3979" w:type="dxa"/>
        </w:tcPr>
        <w:p w:rsidR="003A1911" w:rsidRDefault="003A1911">
          <w:pPr>
            <w:rPr>
              <w:b/>
              <w:bCs/>
              <w:sz w:val="26"/>
              <w:szCs w:val="26"/>
              <w:rtl/>
            </w:rPr>
          </w:pPr>
        </w:p>
      </w:tc>
      <w:tc>
        <w:tcPr>
          <w:tcW w:w="1070" w:type="dxa"/>
        </w:tcPr>
        <w:p w:rsidR="003A1911" w:rsidRDefault="003A1911">
          <w:pPr>
            <w:pStyle w:val="a3"/>
            <w:jc w:val="center"/>
            <w:rPr>
              <w:b/>
              <w:bCs/>
              <w:sz w:val="26"/>
              <w:szCs w:val="26"/>
              <w:rtl/>
            </w:rPr>
          </w:pPr>
        </w:p>
      </w:tc>
      <w:tc>
        <w:tcPr>
          <w:tcW w:w="3672" w:type="dxa"/>
        </w:tcPr>
        <w:p w:rsidR="003A1911" w:rsidRDefault="003A1911">
          <w:pPr>
            <w:pStyle w:val="a3"/>
            <w:jc w:val="right"/>
            <w:rPr>
              <w:b/>
              <w:bCs/>
              <w:sz w:val="26"/>
              <w:szCs w:val="26"/>
              <w:rtl/>
            </w:rPr>
          </w:pPr>
        </w:p>
      </w:tc>
    </w:tr>
    <w:tr w:rsidR="003A1911">
      <w:trPr>
        <w:trHeight w:val="337"/>
        <w:jc w:val="center"/>
      </w:trPr>
      <w:tc>
        <w:tcPr>
          <w:tcW w:w="8721" w:type="dxa"/>
          <w:gridSpan w:val="3"/>
        </w:tcPr>
        <w:p w:rsidR="003A1911" w:rsidRDefault="00E22235">
          <w:pPr>
            <w:rPr>
              <w:b/>
              <w:bCs/>
              <w:sz w:val="26"/>
              <w:szCs w:val="26"/>
              <w:rtl/>
            </w:rPr>
          </w:pPr>
          <w:sdt>
            <w:sdtPr>
              <w:rPr>
                <w:rtl/>
              </w:rPr>
              <w:alias w:val="1170"/>
              <w:tag w:val="1170"/>
              <w:id w:val="-1324892531"/>
              <w:text w:multiLine="1"/>
            </w:sdtPr>
            <w:sdtEndPr/>
            <w:sdtContent>
              <w:r w:rsidR="00160654">
                <w:rPr>
                  <w:b/>
                  <w:bCs/>
                  <w:sz w:val="26"/>
                  <w:szCs w:val="26"/>
                  <w:rtl/>
                </w:rPr>
                <w:t>עת"א</w:t>
              </w:r>
            </w:sdtContent>
          </w:sdt>
          <w:r w:rsidR="009F2145">
            <w:rPr>
              <w:rFonts w:hint="cs"/>
              <w:b/>
              <w:bCs/>
              <w:sz w:val="26"/>
              <w:szCs w:val="26"/>
              <w:rtl/>
            </w:rPr>
            <w:t xml:space="preserve"> </w:t>
          </w:r>
          <w:bookmarkStart w:id="2" w:name="_GoBack"/>
          <w:sdt>
            <w:sdtPr>
              <w:rPr>
                <w:rtl/>
              </w:rPr>
              <w:alias w:val="1171"/>
              <w:tag w:val="1171"/>
              <w:id w:val="-2011060963"/>
              <w:text w:multiLine="1"/>
            </w:sdtPr>
            <w:sdtEndPr/>
            <w:sdtContent>
              <w:r w:rsidR="00160654">
                <w:rPr>
                  <w:b/>
                  <w:bCs/>
                  <w:sz w:val="26"/>
                  <w:szCs w:val="26"/>
                  <w:rtl/>
                </w:rPr>
                <w:t>7015-06-22</w:t>
              </w:r>
            </w:sdtContent>
          </w:sdt>
          <w:bookmarkEnd w:id="2"/>
          <w:r w:rsidR="009F2145">
            <w:rPr>
              <w:rFonts w:hint="cs"/>
              <w:b/>
              <w:bCs/>
              <w:sz w:val="26"/>
              <w:szCs w:val="26"/>
              <w:rtl/>
            </w:rPr>
            <w:t xml:space="preserve"> </w:t>
          </w:r>
          <w:sdt>
            <w:sdtPr>
              <w:rPr>
                <w:rtl/>
              </w:rPr>
              <w:alias w:val="1172"/>
              <w:tag w:val="1172"/>
              <w:id w:val="-1463022510"/>
              <w:text w:multiLine="1"/>
            </w:sdtPr>
            <w:sdtEndPr/>
            <w:sdtContent>
              <w:r w:rsidR="00160654">
                <w:rPr>
                  <w:b/>
                  <w:bCs/>
                  <w:sz w:val="26"/>
                  <w:szCs w:val="26"/>
                  <w:rtl/>
                </w:rPr>
                <w:t>ח'דר(אסיר) נ' שרות בתי הסוהר-מחלקת האסיר - זימונים ואח'</w:t>
              </w:r>
            </w:sdtContent>
          </w:sdt>
        </w:p>
        <w:p w:rsidR="003A1911" w:rsidRPr="00970F0E" w:rsidRDefault="003A1911">
          <w:pPr>
            <w:rPr>
              <w:sz w:val="2"/>
              <w:szCs w:val="2"/>
              <w:rtl/>
            </w:rPr>
          </w:pPr>
        </w:p>
        <w:p w:rsidR="00970F0E" w:rsidRDefault="00970F0E" w:rsidP="00970F0E">
          <w:pPr>
            <w:rPr>
              <w:sz w:val="20"/>
              <w:szCs w:val="20"/>
            </w:rPr>
          </w:pPr>
          <w:r>
            <w:rPr>
              <w:rFonts w:hint="cs"/>
              <w:rtl/>
            </w:rPr>
            <w:t xml:space="preserve">                           </w:t>
          </w:r>
          <w:r>
            <w:rPr>
              <w:rFonts w:hint="cs"/>
              <w:sz w:val="20"/>
              <w:szCs w:val="20"/>
              <w:rtl/>
            </w:rPr>
            <w:t xml:space="preserve">                                       </w:t>
          </w:r>
        </w:p>
        <w:p w:rsidR="004A3248" w:rsidRPr="004A3248" w:rsidRDefault="00970F0E" w:rsidP="002D6887">
          <w:pPr>
            <w:rPr>
              <w:sz w:val="20"/>
              <w:szCs w:val="20"/>
              <w:rtl/>
            </w:rPr>
          </w:pPr>
          <w:r>
            <w:rPr>
              <w:rFonts w:hint="cs"/>
              <w:sz w:val="20"/>
              <w:szCs w:val="20"/>
              <w:rtl/>
            </w:rPr>
            <w:t xml:space="preserve">תיק חיצוני: </w:t>
          </w:r>
          <w:r w:rsidR="00005572">
            <w:rPr>
              <w:rFonts w:hint="cs"/>
              <w:sz w:val="20"/>
              <w:szCs w:val="20"/>
              <w:rtl/>
            </w:rPr>
            <w:t xml:space="preserve"> </w:t>
          </w:r>
          <w:r w:rsidR="00005572">
            <w:rPr>
              <w:sz w:val="20"/>
              <w:szCs w:val="20"/>
              <w:rtl/>
            </w:rPr>
            <w:t xml:space="preserve"> </w:t>
          </w:r>
          <w:r w:rsidR="00005572">
            <w:rPr>
              <w:rFonts w:hint="cs"/>
              <w:sz w:val="20"/>
              <w:szCs w:val="20"/>
              <w:rtl/>
            </w:rPr>
            <w:t xml:space="preserve">  </w:t>
          </w:r>
        </w:p>
      </w:tc>
    </w:tr>
  </w:tbl>
  <w:p w:rsidR="003A1911" w:rsidRDefault="009F2145">
    <w:pPr>
      <w:pStyle w:val="a3"/>
    </w:pPr>
    <w:r>
      <w:rPr>
        <w:rFonts w:cs="Times New Roman" w:hint="cs"/>
        <w:b/>
        <w:bCs/>
        <w:sz w:val="26"/>
        <w:szCs w:val="28"/>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572" w:rsidRDefault="000055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15F67"/>
    <w:multiLevelType w:val="hybridMultilevel"/>
    <w:tmpl w:val="B8E000C6"/>
    <w:lvl w:ilvl="0" w:tplc="1DC4619A">
      <w:start w:val="1"/>
      <w:numFmt w:val="decimal"/>
      <w:lvlText w:val="%1."/>
      <w:lvlJc w:val="left"/>
      <w:pPr>
        <w:ind w:left="360" w:hanging="360"/>
      </w:pPr>
      <w:rPr>
        <w:rFonts w:ascii="David" w:hAnsi="David" w:cs="David" w:hint="default"/>
        <w:b w:val="0"/>
        <w:bCs w:val="0"/>
        <w:lang w:bidi="he-IL"/>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132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331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33151&amp;lt;/CaseID&amp;gt;_x000d__x000a_        &amp;lt;CaseMonth&amp;gt;6&amp;lt;/CaseMonth&amp;gt;_x000d__x000a_        &amp;lt;CaseYear&amp;gt;2022&amp;lt;/CaseYear&amp;gt;_x000d__x000a_        &amp;lt;CaseNumber&amp;gt;7015&amp;lt;/CaseNumber&amp;gt;_x000d__x000a_        &amp;lt;NumeratorGroupID&amp;gt;1&amp;lt;/NumeratorGroupID&amp;gt;_x000d__x000a_        &amp;lt;CaseName&amp;gt;ח&amp;#39;דר(אסיר) נ&amp;#39; שרות בתי הסוהר-מחלקת האסיר - זימונים ואח&amp;#39;&amp;lt;/CaseName&amp;gt;_x000d__x000a_        &amp;lt;CourtID&amp;gt;896&amp;lt;/CourtID&amp;gt;_x000d__x000a_        &amp;lt;CaseTypeID&amp;gt;10076&amp;lt;/CaseTypeID&amp;gt;_x000d__x000a_        &amp;lt;CaseInterestID&amp;gt;87&amp;lt;/CaseInterestID&amp;gt;_x000d__x000a_        &amp;lt;CaseJudgeName&amp;gt;מיכאל קרשן&amp;lt;/CaseJudgeName&amp;gt;_x000d__x000a_        &amp;lt;ProcedureID&amp;gt;3&amp;lt;/ProcedureID&amp;gt;_x000d__x000a_        &amp;lt;CaseStatusID&amp;gt;2&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7015-06-22&amp;lt;/CaseDisplayIdentifier&amp;gt;_x000d__x000a_        &amp;lt;CaseTypeDesc&amp;gt;עת&amp;quot;א&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30T08:30:00+03:00&amp;lt;/CasePreviousSessionDate&amp;gt;_x000d__x000a_        &amp;lt;TemporaryAidStatus /&amp;gt;_x000d__x000a_        &amp;lt;CaseOpenDate&amp;gt;2022-06-02T16:35:00+03:00&amp;lt;/CaseOpenDate&amp;gt;_x000d__x000a_        &amp;lt;PleaTypeID&amp;gt;20&amp;lt;/PleaTypeID&amp;gt;_x000d__x000a_        &amp;lt;CourtLevelID&amp;gt;2&amp;lt;/CourtLevelID&amp;gt;_x000d__x000a_        &amp;lt;CourtLevelCaseTypeInterestID&amp;gt;437&amp;lt;/CourtLevelCaseTypeInterestID&amp;gt;_x000d__x000a_        &amp;lt;CaseJudgeFirstName&amp;gt;מיכאל&amp;lt;/CaseJudgeFirstName&amp;gt;_x000d__x000a_        &amp;lt;CaseJudgeLastName&amp;gt;קרשן&amp;lt;/CaseJudgeLastName&amp;gt;_x000d__x000a_        &amp;lt;JudicalPersonID&amp;gt;028615656@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מעטפה חסויה נמסרה לחוי ע&amp;quot;י הביטחון&amp;lt;/CaseDesc&amp;gt;_x000d__x000a_        &amp;lt;isExistMinorSide&amp;gt;false&amp;lt;/isExistMinorSide&amp;gt;_x000d__x000a_        &amp;lt;isExistMinorWitness&amp;gt;false&amp;lt;/isExistMinorWitness&amp;gt;_x000d__x000a_        &amp;lt;CasePreviousSessionTypeID&amp;gt;57&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33151&amp;lt;/CaseID&amp;gt;_x000d__x000a_        &amp;lt;CaseMonth&amp;gt;6&amp;lt;/CaseMonth&amp;gt;_x000d__x000a_        &amp;lt;CaseYear&amp;gt;2022&amp;lt;/CaseYear&amp;gt;_x000d__x000a_        &amp;lt;CaseNumber&amp;gt;7015&amp;lt;/CaseNumber&amp;gt;_x000d__x000a_        &amp;lt;NumeratorGroupID&amp;gt;1&amp;lt;/NumeratorGroupID&amp;gt;_x000d__x000a_        &amp;lt;CaseName&amp;gt;ח&amp;#39;דר(אסיר) נ&amp;#39; שרות בתי הסוהר-מחלקת האסיר - זימונים ואח&amp;#39;&amp;lt;/CaseName&amp;gt;_x000d__x000a_        &amp;lt;CourtID&amp;gt;896&amp;lt;/CourtID&amp;gt;_x000d__x000a_        &amp;lt;CaseTypeID&amp;gt;10076&amp;lt;/CaseTypeID&amp;gt;_x000d__x000a_        &amp;lt;CaseInterestID&amp;gt;87&amp;lt;/CaseInterestID&amp;gt;_x000d__x000a_        &amp;lt;CaseJudgeName&amp;gt;מיכאל קרשן&amp;lt;/CaseJudgeName&amp;gt;_x000d__x000a_        &amp;lt;ProcedureID&amp;gt;3&amp;lt;/ProcedureID&amp;gt;_x000d__x000a_        &amp;lt;CaseStatusID&amp;gt;2&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7015-06-22&amp;lt;/CaseDisplayIdentifier&amp;gt;_x000d__x000a_        &amp;lt;CaseTypeDesc&amp;gt;עת&amp;quot;א&amp;lt;/CaseTypeDesc&amp;gt;_x000d__x000a_        &amp;lt;CourtDesc&amp;gt;המחוזי מרכז &amp;lt;/CourtDesc&amp;gt;_x000d__x000a_        &amp;lt;CaseStageDesc&amp;gt;תיק אלקטרוני&amp;lt;/CaseStageDesc&amp;gt;_x000d__x000a_        &amp;lt;CaseOpenDate&amp;gt;2022-06-02T16:35:00+03:00&amp;lt;/CaseOpenDate&amp;gt;_x000d__x000a_        &amp;lt;PleaTypeID&amp;gt;20&amp;lt;/PleaTypeID&amp;gt;_x000d__x000a_        &amp;lt;CourtLevelID&amp;gt;2&amp;lt;/CourtLevelID&amp;gt;_x000d__x000a_        &amp;lt;CourtLevelCaseTypeInterestID&amp;gt;437&amp;lt;/CourtLevelCaseTypeInterestID&amp;gt;_x000d__x000a_        &amp;lt;CaseJudgeFirstName&amp;gt;מיכאל&amp;lt;/CaseJudgeFirstName&amp;gt;_x000d__x000a_        &amp;lt;CaseJudgeLastName&amp;gt;קרשן&amp;lt;/CaseJudgeLastName&amp;gt;_x000d__x000a_        &amp;lt;JudicalPersonID&amp;gt;028615656@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מעטפה חסויה נמסרה לחוי ע&amp;quot;י הביטח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21T13:52:54.2558207+02:00&amp;lt;/DecisionStatusChangeDate&amp;gt;_x000d__x000a_        &amp;lt;DecisionSignatureDate&amp;gt;2023-12-21T13:52:54.2558207+02:00&amp;lt;/DecisionSignatureDate&amp;gt;_x000d__x000a_        &amp;lt;DecisionSignatureUserID&amp;gt;028615656@GOV.IL&amp;lt;/DecisionSignatureUserID&amp;gt;_x000d__x000a_        &amp;lt;DecisionCreateDate&amp;gt;2023-12-21T13:52:54.2558207+02:00&amp;lt;/DecisionCreateDate&amp;gt;_x000d__x000a_        &amp;lt;DecisionChangeDate&amp;gt;2023-12-21T13:52:54.2558207+02:00&amp;lt;/DecisionChangeDate&amp;gt;_x000d__x000a_        &amp;lt;DecisionChangeUserID&amp;gt;02861565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6156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615656@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33315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87"/>
    <w:docVar w:name="NGCS.TemplateCaseTypeID" w:val="10076"/>
    <w:docVar w:name="NGCS.TemplateCategoryID" w:val="80"/>
    <w:docVar w:name="NGCS.TemplateCourtID" w:val="896"/>
    <w:docVar w:name="NGCS.TemplateProceedingID" w:val="4"/>
    <w:docVar w:name="SelectedDocumentID" w:val="424488979"/>
    <w:docVar w:name="WordClientAssemblyName" w:val="NGCS.Decision.ClientWordBL"/>
    <w:docVar w:name="WordClientClassName" w:val="NGCS.Decision.ClientWordBL.DecisionClient"/>
  </w:docVars>
  <w:rsids>
    <w:rsidRoot w:val="003A1911"/>
    <w:rsid w:val="00005572"/>
    <w:rsid w:val="00043EAE"/>
    <w:rsid w:val="0006217E"/>
    <w:rsid w:val="00092D45"/>
    <w:rsid w:val="000E28A5"/>
    <w:rsid w:val="000E33CF"/>
    <w:rsid w:val="00102136"/>
    <w:rsid w:val="001046DE"/>
    <w:rsid w:val="00160654"/>
    <w:rsid w:val="00167840"/>
    <w:rsid w:val="0019450F"/>
    <w:rsid w:val="001F639B"/>
    <w:rsid w:val="00222585"/>
    <w:rsid w:val="0025767C"/>
    <w:rsid w:val="00272833"/>
    <w:rsid w:val="002B2641"/>
    <w:rsid w:val="002B2CFE"/>
    <w:rsid w:val="002D6887"/>
    <w:rsid w:val="00371133"/>
    <w:rsid w:val="00375235"/>
    <w:rsid w:val="00386811"/>
    <w:rsid w:val="00390A38"/>
    <w:rsid w:val="003A1911"/>
    <w:rsid w:val="003E3C58"/>
    <w:rsid w:val="003F0CF4"/>
    <w:rsid w:val="004238F7"/>
    <w:rsid w:val="004A3248"/>
    <w:rsid w:val="004C4C98"/>
    <w:rsid w:val="004F5549"/>
    <w:rsid w:val="004F7063"/>
    <w:rsid w:val="004F77B2"/>
    <w:rsid w:val="0051751F"/>
    <w:rsid w:val="005624C8"/>
    <w:rsid w:val="005C6270"/>
    <w:rsid w:val="005F5210"/>
    <w:rsid w:val="00616468"/>
    <w:rsid w:val="00681B45"/>
    <w:rsid w:val="00696790"/>
    <w:rsid w:val="006F6E66"/>
    <w:rsid w:val="00752FC5"/>
    <w:rsid w:val="007B3911"/>
    <w:rsid w:val="007C5F81"/>
    <w:rsid w:val="008239A3"/>
    <w:rsid w:val="00866C0C"/>
    <w:rsid w:val="00875098"/>
    <w:rsid w:val="008B49FF"/>
    <w:rsid w:val="009051BC"/>
    <w:rsid w:val="0092072C"/>
    <w:rsid w:val="0092779C"/>
    <w:rsid w:val="00954BCB"/>
    <w:rsid w:val="00957535"/>
    <w:rsid w:val="00970F0E"/>
    <w:rsid w:val="0097214E"/>
    <w:rsid w:val="00984789"/>
    <w:rsid w:val="009E586C"/>
    <w:rsid w:val="009F2145"/>
    <w:rsid w:val="00A6245C"/>
    <w:rsid w:val="00A72B43"/>
    <w:rsid w:val="00A81306"/>
    <w:rsid w:val="00AD797D"/>
    <w:rsid w:val="00AE0AA3"/>
    <w:rsid w:val="00AE3B96"/>
    <w:rsid w:val="00B00415"/>
    <w:rsid w:val="00B71FCB"/>
    <w:rsid w:val="00B76678"/>
    <w:rsid w:val="00BA3040"/>
    <w:rsid w:val="00BD03E3"/>
    <w:rsid w:val="00C00BFE"/>
    <w:rsid w:val="00C05A6E"/>
    <w:rsid w:val="00C30866"/>
    <w:rsid w:val="00C77094"/>
    <w:rsid w:val="00CB1707"/>
    <w:rsid w:val="00CC0863"/>
    <w:rsid w:val="00CE45CA"/>
    <w:rsid w:val="00D343D7"/>
    <w:rsid w:val="00D34C8D"/>
    <w:rsid w:val="00D56ED0"/>
    <w:rsid w:val="00D62B66"/>
    <w:rsid w:val="00DD1940"/>
    <w:rsid w:val="00E14BDF"/>
    <w:rsid w:val="00E22235"/>
    <w:rsid w:val="00E60AEB"/>
    <w:rsid w:val="00EC73E8"/>
    <w:rsid w:val="00F1350B"/>
    <w:rsid w:val="00FA6B68"/>
    <w:rsid w:val="00FB0257"/>
    <w:rsid w:val="00FE3C23"/>
    <w:rsid w:val="00FE4C3F"/>
    <w:rsid w:val="00FE6B1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2097"/>
    <o:shapelayout v:ext="edit">
      <o:idmap v:ext="edit" data="1"/>
    </o:shapelayout>
  </w:shapeDefaults>
  <w:decimalSymbol w:val="."/>
  <w:listSeparator w:val=","/>
  <w15:docId w15:val="{904965EB-4C12-429C-8EB2-9AC2FE26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808"/>
    <w:pPr>
      <w:bidi/>
    </w:pPr>
    <w:rPr>
      <w:rFonts w:cs="David"/>
      <w:noProof/>
      <w:sz w:val="24"/>
      <w:szCs w:val="24"/>
    </w:rPr>
  </w:style>
  <w:style w:type="paragraph" w:styleId="4">
    <w:name w:val="heading 4"/>
    <w:basedOn w:val="a"/>
    <w:next w:val="a"/>
    <w:qFormat/>
    <w:rsid w:val="004D4808"/>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D4808"/>
    <w:pPr>
      <w:tabs>
        <w:tab w:val="center" w:pos="4153"/>
        <w:tab w:val="right" w:pos="8306"/>
      </w:tabs>
    </w:pPr>
  </w:style>
  <w:style w:type="paragraph" w:styleId="a4">
    <w:name w:val="footer"/>
    <w:basedOn w:val="a"/>
    <w:rsid w:val="004D4808"/>
    <w:pPr>
      <w:tabs>
        <w:tab w:val="center" w:pos="4153"/>
        <w:tab w:val="right" w:pos="8306"/>
      </w:tabs>
    </w:pPr>
  </w:style>
  <w:style w:type="table" w:styleId="a5">
    <w:name w:val="Table Grid"/>
    <w:basedOn w:val="a1"/>
    <w:rsid w:val="004D480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D4808"/>
  </w:style>
  <w:style w:type="character" w:styleId="a7">
    <w:name w:val="line number"/>
    <w:basedOn w:val="a0"/>
    <w:rsid w:val="004D4808"/>
  </w:style>
  <w:style w:type="paragraph" w:styleId="a8">
    <w:name w:val="Balloon Text"/>
    <w:basedOn w:val="a"/>
    <w:link w:val="a9"/>
    <w:rsid w:val="00B76678"/>
    <w:rPr>
      <w:rFonts w:ascii="Tahoma" w:hAnsi="Tahoma" w:cs="Tahoma"/>
      <w:sz w:val="16"/>
      <w:szCs w:val="16"/>
    </w:rPr>
  </w:style>
  <w:style w:type="character" w:customStyle="1" w:styleId="a9">
    <w:name w:val="טקסט בלונים תו"/>
    <w:basedOn w:val="a0"/>
    <w:link w:val="a8"/>
    <w:rsid w:val="00B76678"/>
    <w:rPr>
      <w:rFonts w:ascii="Tahoma" w:hAnsi="Tahoma" w:cs="Tahoma"/>
      <w:noProof/>
      <w:sz w:val="16"/>
      <w:szCs w:val="16"/>
    </w:rPr>
  </w:style>
  <w:style w:type="character" w:styleId="aa">
    <w:name w:val="Placeholder Text"/>
    <w:basedOn w:val="a0"/>
    <w:uiPriority w:val="99"/>
    <w:semiHidden/>
    <w:rsid w:val="005C6270"/>
    <w:rPr>
      <w:color w:val="808080"/>
    </w:rPr>
  </w:style>
  <w:style w:type="paragraph" w:styleId="ab">
    <w:name w:val="footnote text"/>
    <w:basedOn w:val="a"/>
    <w:link w:val="ac"/>
    <w:uiPriority w:val="99"/>
    <w:semiHidden/>
    <w:unhideWhenUsed/>
    <w:rsid w:val="002D6887"/>
    <w:rPr>
      <w:rFonts w:asciiTheme="minorHAnsi" w:eastAsiaTheme="minorHAnsi" w:hAnsiTheme="minorHAnsi" w:cstheme="minorBidi"/>
      <w:noProof w:val="0"/>
      <w:sz w:val="20"/>
      <w:szCs w:val="20"/>
    </w:rPr>
  </w:style>
  <w:style w:type="character" w:customStyle="1" w:styleId="ac">
    <w:name w:val="טקסט הערת שוליים תו"/>
    <w:basedOn w:val="a0"/>
    <w:link w:val="ab"/>
    <w:uiPriority w:val="99"/>
    <w:semiHidden/>
    <w:rsid w:val="002D6887"/>
    <w:rPr>
      <w:rFonts w:asciiTheme="minorHAnsi" w:eastAsiaTheme="minorHAnsi" w:hAnsiTheme="minorHAnsi" w:cstheme="minorBidi"/>
    </w:rPr>
  </w:style>
  <w:style w:type="paragraph" w:styleId="ad">
    <w:name w:val="No Spacing"/>
    <w:uiPriority w:val="1"/>
    <w:qFormat/>
    <w:rsid w:val="002D6887"/>
    <w:pPr>
      <w:bidi/>
    </w:pPr>
    <w:rPr>
      <w:rFonts w:asciiTheme="minorHAnsi" w:eastAsiaTheme="minorHAnsi" w:hAnsiTheme="minorHAnsi" w:cstheme="minorBidi"/>
      <w:sz w:val="22"/>
      <w:szCs w:val="22"/>
    </w:rPr>
  </w:style>
  <w:style w:type="paragraph" w:styleId="ae">
    <w:name w:val="List Paragraph"/>
    <w:basedOn w:val="a"/>
    <w:uiPriority w:val="34"/>
    <w:qFormat/>
    <w:rsid w:val="002D6887"/>
    <w:pPr>
      <w:spacing w:after="160" w:line="254"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2D68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967477">
      <w:bodyDiv w:val="1"/>
      <w:marLeft w:val="0"/>
      <w:marRight w:val="0"/>
      <w:marTop w:val="0"/>
      <w:marBottom w:val="0"/>
      <w:divBdr>
        <w:top w:val="none" w:sz="0" w:space="0" w:color="auto"/>
        <w:left w:val="none" w:sz="0" w:space="0" w:color="auto"/>
        <w:bottom w:val="none" w:sz="0" w:space="0" w:color="auto"/>
        <w:right w:val="none" w:sz="0" w:space="0" w:color="auto"/>
      </w:divBdr>
    </w:div>
    <w:div w:id="664823866">
      <w:bodyDiv w:val="1"/>
      <w:marLeft w:val="0"/>
      <w:marRight w:val="0"/>
      <w:marTop w:val="0"/>
      <w:marBottom w:val="0"/>
      <w:divBdr>
        <w:top w:val="none" w:sz="0" w:space="0" w:color="auto"/>
        <w:left w:val="none" w:sz="0" w:space="0" w:color="auto"/>
        <w:bottom w:val="none" w:sz="0" w:space="0" w:color="auto"/>
        <w:right w:val="none" w:sz="0" w:space="0" w:color="auto"/>
      </w:divBdr>
    </w:div>
    <w:div w:id="1265531318">
      <w:bodyDiv w:val="1"/>
      <w:marLeft w:val="0"/>
      <w:marRight w:val="0"/>
      <w:marTop w:val="0"/>
      <w:marBottom w:val="0"/>
      <w:divBdr>
        <w:top w:val="none" w:sz="0" w:space="0" w:color="auto"/>
        <w:left w:val="none" w:sz="0" w:space="0" w:color="auto"/>
        <w:bottom w:val="none" w:sz="0" w:space="0" w:color="auto"/>
        <w:right w:val="none" w:sz="0" w:space="0" w:color="auto"/>
      </w:divBdr>
    </w:div>
    <w:div w:id="170062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nevo.co.il/case/17932988"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case/17915091"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1983E97BB2A45ABAC9764863B4EF09D"/>
        <w:category>
          <w:name w:val="כללי"/>
          <w:gallery w:val="placeholder"/>
        </w:category>
        <w:types>
          <w:type w:val="bbPlcHdr"/>
        </w:types>
        <w:behaviors>
          <w:behavior w:val="content"/>
        </w:behaviors>
        <w:guid w:val="{1BC98209-3E57-4C90-A96D-A100C814AC4A}"/>
      </w:docPartPr>
      <w:docPartBody>
        <w:p w:rsidR="008F6D76" w:rsidRDefault="002D6269" w:rsidP="002D6269">
          <w:pPr>
            <w:pStyle w:val="A1983E97BB2A45ABAC9764863B4EF09D"/>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E09"/>
    <w:rsid w:val="0027509A"/>
    <w:rsid w:val="002D6269"/>
    <w:rsid w:val="0035638D"/>
    <w:rsid w:val="00466D93"/>
    <w:rsid w:val="004A3913"/>
    <w:rsid w:val="004F2E86"/>
    <w:rsid w:val="00536E09"/>
    <w:rsid w:val="00621DCD"/>
    <w:rsid w:val="0077714D"/>
    <w:rsid w:val="008F6D76"/>
    <w:rsid w:val="00942611"/>
    <w:rsid w:val="009C78EA"/>
    <w:rsid w:val="00B112AB"/>
    <w:rsid w:val="00EF281C"/>
    <w:rsid w:val="00F5160F"/>
    <w:rsid w:val="00FA59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D6269"/>
    <w:rPr>
      <w:color w:val="808080"/>
    </w:rPr>
  </w:style>
  <w:style w:type="paragraph" w:customStyle="1" w:styleId="84C1F8551CE9403593633C1C85DE47AB">
    <w:name w:val="84C1F8551CE9403593633C1C85DE47AB"/>
    <w:rsid w:val="00621DCD"/>
    <w:pPr>
      <w:bidi/>
      <w:spacing w:after="0" w:line="240" w:lineRule="auto"/>
    </w:pPr>
    <w:rPr>
      <w:rFonts w:ascii="Times New Roman" w:eastAsia="Times New Roman" w:hAnsi="Times New Roman" w:cs="David"/>
      <w:noProof/>
      <w:sz w:val="24"/>
      <w:szCs w:val="24"/>
    </w:rPr>
  </w:style>
  <w:style w:type="paragraph" w:customStyle="1" w:styleId="0FB2DBB936EA43B1AE87F2148B086386">
    <w:name w:val="0FB2DBB936EA43B1AE87F2148B086386"/>
    <w:rsid w:val="00621DCD"/>
    <w:pPr>
      <w:bidi/>
    </w:pPr>
  </w:style>
  <w:style w:type="paragraph" w:customStyle="1" w:styleId="9E0E6B6F25EC4C8EA20DBA839DA990A3">
    <w:name w:val="9E0E6B6F25EC4C8EA20DBA839DA990A3"/>
    <w:rsid w:val="00621DCD"/>
    <w:pPr>
      <w:bidi/>
    </w:pPr>
  </w:style>
  <w:style w:type="paragraph" w:customStyle="1" w:styleId="9E0E6B6F25EC4C8EA20DBA839DA990A31">
    <w:name w:val="9E0E6B6F25EC4C8EA20DBA839DA990A31"/>
    <w:rsid w:val="004A3913"/>
    <w:pPr>
      <w:bidi/>
      <w:spacing w:after="0" w:line="240" w:lineRule="auto"/>
    </w:pPr>
    <w:rPr>
      <w:rFonts w:ascii="Times New Roman" w:eastAsia="Times New Roman" w:hAnsi="Times New Roman" w:cs="David"/>
      <w:noProof/>
      <w:sz w:val="24"/>
      <w:szCs w:val="24"/>
    </w:rPr>
  </w:style>
  <w:style w:type="paragraph" w:customStyle="1" w:styleId="9E0E6B6F25EC4C8EA20DBA839DA990A32">
    <w:name w:val="9E0E6B6F25EC4C8EA20DBA839DA990A32"/>
    <w:rsid w:val="0035638D"/>
    <w:pPr>
      <w:bidi/>
      <w:spacing w:after="0" w:line="240" w:lineRule="auto"/>
    </w:pPr>
    <w:rPr>
      <w:rFonts w:ascii="Times New Roman" w:eastAsia="Times New Roman" w:hAnsi="Times New Roman" w:cs="David"/>
      <w:noProof/>
      <w:sz w:val="24"/>
      <w:szCs w:val="24"/>
    </w:rPr>
  </w:style>
  <w:style w:type="paragraph" w:customStyle="1" w:styleId="9E0E6B6F25EC4C8EA20DBA839DA990A33">
    <w:name w:val="9E0E6B6F25EC4C8EA20DBA839DA990A33"/>
    <w:rsid w:val="0077714D"/>
    <w:pPr>
      <w:bidi/>
      <w:spacing w:after="0" w:line="240" w:lineRule="auto"/>
    </w:pPr>
    <w:rPr>
      <w:rFonts w:ascii="Times New Roman" w:eastAsia="Times New Roman" w:hAnsi="Times New Roman" w:cs="David"/>
      <w:noProof/>
      <w:sz w:val="24"/>
      <w:szCs w:val="24"/>
    </w:rPr>
  </w:style>
  <w:style w:type="paragraph" w:customStyle="1" w:styleId="A9486A0962804445A73D11059F346ECF">
    <w:name w:val="A9486A0962804445A73D11059F346ECF"/>
    <w:rsid w:val="0077714D"/>
    <w:pPr>
      <w:bidi/>
      <w:spacing w:after="0" w:line="240" w:lineRule="auto"/>
    </w:pPr>
    <w:rPr>
      <w:rFonts w:ascii="Times New Roman" w:eastAsia="Times New Roman" w:hAnsi="Times New Roman" w:cs="David"/>
      <w:noProof/>
      <w:sz w:val="24"/>
      <w:szCs w:val="24"/>
    </w:rPr>
  </w:style>
  <w:style w:type="paragraph" w:customStyle="1" w:styleId="9E0E6B6F25EC4C8EA20DBA839DA990A34">
    <w:name w:val="9E0E6B6F25EC4C8EA20DBA839DA990A34"/>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
    <w:name w:val="BDF71C4125C143FE8E81ED2464F89CD5"/>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5">
    <w:name w:val="9E0E6B6F25EC4C8EA20DBA839DA990A35"/>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1">
    <w:name w:val="BDF71C4125C143FE8E81ED2464F89CD51"/>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6">
    <w:name w:val="9E0E6B6F25EC4C8EA20DBA839DA990A36"/>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2">
    <w:name w:val="BDF71C4125C143FE8E81ED2464F89CD52"/>
    <w:rsid w:val="009C78EA"/>
    <w:pPr>
      <w:bidi/>
      <w:spacing w:after="0" w:line="240" w:lineRule="auto"/>
    </w:pPr>
    <w:rPr>
      <w:rFonts w:ascii="Times New Roman" w:eastAsia="Times New Roman" w:hAnsi="Times New Roman" w:cs="David"/>
      <w:noProof/>
      <w:sz w:val="24"/>
      <w:szCs w:val="24"/>
    </w:rPr>
  </w:style>
  <w:style w:type="paragraph" w:customStyle="1" w:styleId="529D45C7E20B41E3B1192A8089DB4F7E">
    <w:name w:val="529D45C7E20B41E3B1192A8089DB4F7E"/>
    <w:rsid w:val="009C78EA"/>
    <w:pPr>
      <w:bidi/>
      <w:spacing w:after="0" w:line="240" w:lineRule="auto"/>
    </w:pPr>
    <w:rPr>
      <w:rFonts w:ascii="Times New Roman" w:eastAsia="Times New Roman" w:hAnsi="Times New Roman" w:cs="David"/>
      <w:noProof/>
      <w:sz w:val="24"/>
      <w:szCs w:val="24"/>
    </w:rPr>
  </w:style>
  <w:style w:type="paragraph" w:customStyle="1" w:styleId="1796E290691B4E70B7A498C98EA7E624">
    <w:name w:val="1796E290691B4E70B7A498C98EA7E624"/>
    <w:rsid w:val="009C78EA"/>
    <w:pPr>
      <w:bidi/>
      <w:spacing w:after="160" w:line="259" w:lineRule="auto"/>
    </w:pPr>
  </w:style>
  <w:style w:type="paragraph" w:customStyle="1" w:styleId="9E0E6B6F25EC4C8EA20DBA839DA990A37">
    <w:name w:val="9E0E6B6F25EC4C8EA20DBA839DA990A37"/>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3">
    <w:name w:val="BDF71C4125C143FE8E81ED2464F89CD53"/>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8">
    <w:name w:val="9E0E6B6F25EC4C8EA20DBA839DA990A38"/>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4">
    <w:name w:val="BDF71C4125C143FE8E81ED2464F89CD54"/>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
    <w:name w:val="B0B6E72C50AB41EF904B48D87CB16E0C"/>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9">
    <w:name w:val="9E0E6B6F25EC4C8EA20DBA839DA990A39"/>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5">
    <w:name w:val="BDF71C4125C143FE8E81ED2464F89CD55"/>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1">
    <w:name w:val="B0B6E72C50AB41EF904B48D87CB16E0C1"/>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0">
    <w:name w:val="9E0E6B6F25EC4C8EA20DBA839DA990A310"/>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6">
    <w:name w:val="BDF71C4125C143FE8E81ED2464F89CD56"/>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2">
    <w:name w:val="B0B6E72C50AB41EF904B48D87CB16E0C2"/>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1">
    <w:name w:val="9E0E6B6F25EC4C8EA20DBA839DA990A311"/>
    <w:rsid w:val="00EF281C"/>
    <w:pPr>
      <w:bidi/>
      <w:spacing w:after="0" w:line="240" w:lineRule="auto"/>
    </w:pPr>
    <w:rPr>
      <w:rFonts w:ascii="Times New Roman" w:eastAsia="Times New Roman" w:hAnsi="Times New Roman" w:cs="David"/>
      <w:noProof/>
      <w:sz w:val="24"/>
      <w:szCs w:val="24"/>
    </w:rPr>
  </w:style>
  <w:style w:type="paragraph" w:customStyle="1" w:styleId="BDF71C4125C143FE8E81ED2464F89CD57">
    <w:name w:val="BDF71C4125C143FE8E81ED2464F89CD57"/>
    <w:rsid w:val="00EF281C"/>
    <w:pPr>
      <w:bidi/>
      <w:spacing w:after="0" w:line="240" w:lineRule="auto"/>
    </w:pPr>
    <w:rPr>
      <w:rFonts w:ascii="Times New Roman" w:eastAsia="Times New Roman" w:hAnsi="Times New Roman" w:cs="David"/>
      <w:noProof/>
      <w:sz w:val="24"/>
      <w:szCs w:val="24"/>
    </w:rPr>
  </w:style>
  <w:style w:type="paragraph" w:customStyle="1" w:styleId="B0B6E72C50AB41EF904B48D87CB16E0C3">
    <w:name w:val="B0B6E72C50AB41EF904B48D87CB16E0C3"/>
    <w:rsid w:val="00EF281C"/>
    <w:pPr>
      <w:bidi/>
      <w:spacing w:after="0" w:line="240" w:lineRule="auto"/>
    </w:pPr>
    <w:rPr>
      <w:rFonts w:ascii="Times New Roman" w:eastAsia="Times New Roman" w:hAnsi="Times New Roman" w:cs="David"/>
      <w:noProof/>
      <w:sz w:val="24"/>
      <w:szCs w:val="24"/>
    </w:rPr>
  </w:style>
  <w:style w:type="paragraph" w:customStyle="1" w:styleId="9E0E6B6F25EC4C8EA20DBA839DA990A312">
    <w:name w:val="9E0E6B6F25EC4C8EA20DBA839DA990A312"/>
    <w:rsid w:val="00B112AB"/>
    <w:pPr>
      <w:bidi/>
      <w:spacing w:after="0" w:line="240" w:lineRule="auto"/>
    </w:pPr>
    <w:rPr>
      <w:rFonts w:ascii="Times New Roman" w:eastAsia="Times New Roman" w:hAnsi="Times New Roman" w:cs="David"/>
      <w:noProof/>
      <w:sz w:val="24"/>
      <w:szCs w:val="24"/>
    </w:rPr>
  </w:style>
  <w:style w:type="paragraph" w:customStyle="1" w:styleId="BDF71C4125C143FE8E81ED2464F89CD58">
    <w:name w:val="BDF71C4125C143FE8E81ED2464F89CD58"/>
    <w:rsid w:val="00B112AB"/>
    <w:pPr>
      <w:bidi/>
      <w:spacing w:after="0" w:line="240" w:lineRule="auto"/>
    </w:pPr>
    <w:rPr>
      <w:rFonts w:ascii="Times New Roman" w:eastAsia="Times New Roman" w:hAnsi="Times New Roman" w:cs="David"/>
      <w:noProof/>
      <w:sz w:val="24"/>
      <w:szCs w:val="24"/>
    </w:rPr>
  </w:style>
  <w:style w:type="paragraph" w:customStyle="1" w:styleId="B0B6E72C50AB41EF904B48D87CB16E0C4">
    <w:name w:val="B0B6E72C50AB41EF904B48D87CB16E0C4"/>
    <w:rsid w:val="00B112AB"/>
    <w:pPr>
      <w:bidi/>
      <w:spacing w:after="0" w:line="240" w:lineRule="auto"/>
    </w:pPr>
    <w:rPr>
      <w:rFonts w:ascii="Times New Roman" w:eastAsia="Times New Roman" w:hAnsi="Times New Roman" w:cs="David"/>
      <w:noProof/>
      <w:sz w:val="24"/>
      <w:szCs w:val="24"/>
    </w:rPr>
  </w:style>
  <w:style w:type="paragraph" w:customStyle="1" w:styleId="77461361EA8D4FCBA0DD7539EA82D2BB">
    <w:name w:val="77461361EA8D4FCBA0DD7539EA82D2BB"/>
    <w:rsid w:val="00B112AB"/>
    <w:pPr>
      <w:bidi/>
      <w:spacing w:after="160" w:line="259" w:lineRule="auto"/>
    </w:pPr>
  </w:style>
  <w:style w:type="paragraph" w:customStyle="1" w:styleId="F53234C24ACA4BBB8BAAF33161D10666">
    <w:name w:val="F53234C24ACA4BBB8BAAF33161D10666"/>
    <w:rsid w:val="00B112AB"/>
    <w:pPr>
      <w:bidi/>
      <w:spacing w:after="160" w:line="259" w:lineRule="auto"/>
    </w:pPr>
  </w:style>
  <w:style w:type="paragraph" w:customStyle="1" w:styleId="6CE7F657283F4BB383A42E4616F2A453">
    <w:name w:val="6CE7F657283F4BB383A42E4616F2A453"/>
    <w:rsid w:val="00B112AB"/>
    <w:pPr>
      <w:bidi/>
      <w:spacing w:after="160" w:line="259" w:lineRule="auto"/>
    </w:pPr>
  </w:style>
  <w:style w:type="paragraph" w:customStyle="1" w:styleId="56F95FD18C6444CA8ED66C804FFD2383">
    <w:name w:val="56F95FD18C6444CA8ED66C804FFD2383"/>
    <w:rsid w:val="00B112AB"/>
    <w:pPr>
      <w:bidi/>
      <w:spacing w:after="160" w:line="259" w:lineRule="auto"/>
    </w:pPr>
  </w:style>
  <w:style w:type="paragraph" w:customStyle="1" w:styleId="4AAAC6F99CF745068370737C14373C31">
    <w:name w:val="4AAAC6F99CF745068370737C14373C31"/>
    <w:rsid w:val="00B112AB"/>
    <w:pPr>
      <w:bidi/>
      <w:spacing w:after="160" w:line="259" w:lineRule="auto"/>
    </w:pPr>
  </w:style>
  <w:style w:type="paragraph" w:customStyle="1" w:styleId="773304693C5B4D9393F705652ABBFA75">
    <w:name w:val="773304693C5B4D9393F705652ABBFA75"/>
    <w:rsid w:val="00B112AB"/>
    <w:pPr>
      <w:bidi/>
      <w:spacing w:after="160" w:line="259" w:lineRule="auto"/>
    </w:pPr>
  </w:style>
  <w:style w:type="paragraph" w:customStyle="1" w:styleId="9AA994EA385047FB95AD92FF62DDF38C">
    <w:name w:val="9AA994EA385047FB95AD92FF62DDF38C"/>
    <w:rsid w:val="00B112AB"/>
    <w:pPr>
      <w:bidi/>
      <w:spacing w:after="160" w:line="259" w:lineRule="auto"/>
    </w:pPr>
  </w:style>
  <w:style w:type="paragraph" w:customStyle="1" w:styleId="0853D7E321334087B406F14923822829">
    <w:name w:val="0853D7E321334087B406F14923822829"/>
    <w:rsid w:val="00B112AB"/>
    <w:pPr>
      <w:bidi/>
      <w:spacing w:after="160" w:line="259" w:lineRule="auto"/>
    </w:pPr>
  </w:style>
  <w:style w:type="paragraph" w:customStyle="1" w:styleId="9E0E6B6F25EC4C8EA20DBA839DA990A313">
    <w:name w:val="9E0E6B6F25EC4C8EA20DBA839DA990A313"/>
    <w:rsid w:val="00F5160F"/>
    <w:pPr>
      <w:bidi/>
      <w:spacing w:after="0" w:line="240" w:lineRule="auto"/>
    </w:pPr>
    <w:rPr>
      <w:rFonts w:ascii="Times New Roman" w:eastAsia="Times New Roman" w:hAnsi="Times New Roman" w:cs="David"/>
      <w:noProof/>
      <w:sz w:val="24"/>
      <w:szCs w:val="24"/>
    </w:rPr>
  </w:style>
  <w:style w:type="paragraph" w:customStyle="1" w:styleId="773304693C5B4D9393F705652ABBFA751">
    <w:name w:val="773304693C5B4D9393F705652ABBFA751"/>
    <w:rsid w:val="00F5160F"/>
    <w:pPr>
      <w:bidi/>
      <w:spacing w:after="0" w:line="240" w:lineRule="auto"/>
    </w:pPr>
    <w:rPr>
      <w:rFonts w:ascii="Times New Roman" w:eastAsia="Times New Roman" w:hAnsi="Times New Roman" w:cs="David"/>
      <w:noProof/>
      <w:sz w:val="24"/>
      <w:szCs w:val="24"/>
    </w:rPr>
  </w:style>
  <w:style w:type="paragraph" w:customStyle="1" w:styleId="9AA994EA385047FB95AD92FF62DDF38C1">
    <w:name w:val="9AA994EA385047FB95AD92FF62DDF38C1"/>
    <w:rsid w:val="00F5160F"/>
    <w:pPr>
      <w:bidi/>
      <w:spacing w:after="0" w:line="240" w:lineRule="auto"/>
    </w:pPr>
    <w:rPr>
      <w:rFonts w:ascii="Times New Roman" w:eastAsia="Times New Roman" w:hAnsi="Times New Roman" w:cs="David"/>
      <w:noProof/>
      <w:sz w:val="24"/>
      <w:szCs w:val="24"/>
    </w:rPr>
  </w:style>
  <w:style w:type="paragraph" w:customStyle="1" w:styleId="0853D7E321334087B406F149238228291">
    <w:name w:val="0853D7E321334087B406F149238228291"/>
    <w:rsid w:val="00F5160F"/>
    <w:pPr>
      <w:bidi/>
      <w:spacing w:after="0" w:line="240" w:lineRule="auto"/>
    </w:pPr>
    <w:rPr>
      <w:rFonts w:ascii="Times New Roman" w:eastAsia="Times New Roman" w:hAnsi="Times New Roman" w:cs="David"/>
      <w:noProof/>
      <w:sz w:val="24"/>
      <w:szCs w:val="24"/>
    </w:rPr>
  </w:style>
  <w:style w:type="paragraph" w:customStyle="1" w:styleId="BDF71C4125C143FE8E81ED2464F89CD59">
    <w:name w:val="BDF71C4125C143FE8E81ED2464F89CD59"/>
    <w:rsid w:val="00F5160F"/>
    <w:pPr>
      <w:bidi/>
      <w:spacing w:after="0" w:line="240" w:lineRule="auto"/>
    </w:pPr>
    <w:rPr>
      <w:rFonts w:ascii="Times New Roman" w:eastAsia="Times New Roman" w:hAnsi="Times New Roman" w:cs="David"/>
      <w:noProof/>
      <w:sz w:val="24"/>
      <w:szCs w:val="24"/>
    </w:rPr>
  </w:style>
  <w:style w:type="paragraph" w:customStyle="1" w:styleId="B0B6E72C50AB41EF904B48D87CB16E0C5">
    <w:name w:val="B0B6E72C50AB41EF904B48D87CB16E0C5"/>
    <w:rsid w:val="00F5160F"/>
    <w:pPr>
      <w:bidi/>
      <w:spacing w:after="0" w:line="240" w:lineRule="auto"/>
    </w:pPr>
    <w:rPr>
      <w:rFonts w:ascii="Times New Roman" w:eastAsia="Times New Roman" w:hAnsi="Times New Roman" w:cs="David"/>
      <w:noProof/>
      <w:sz w:val="24"/>
      <w:szCs w:val="24"/>
    </w:rPr>
  </w:style>
  <w:style w:type="paragraph" w:customStyle="1" w:styleId="9E0E6B6F25EC4C8EA20DBA839DA990A314">
    <w:name w:val="9E0E6B6F25EC4C8EA20DBA839DA990A314"/>
    <w:rsid w:val="00466D93"/>
    <w:pPr>
      <w:bidi/>
      <w:spacing w:after="0" w:line="240" w:lineRule="auto"/>
    </w:pPr>
    <w:rPr>
      <w:rFonts w:ascii="Times New Roman" w:eastAsia="Times New Roman" w:hAnsi="Times New Roman" w:cs="David"/>
      <w:noProof/>
      <w:sz w:val="24"/>
      <w:szCs w:val="24"/>
    </w:rPr>
  </w:style>
  <w:style w:type="paragraph" w:customStyle="1" w:styleId="773304693C5B4D9393F705652ABBFA752">
    <w:name w:val="773304693C5B4D9393F705652ABBFA752"/>
    <w:rsid w:val="00466D93"/>
    <w:pPr>
      <w:bidi/>
      <w:spacing w:after="0" w:line="240" w:lineRule="auto"/>
    </w:pPr>
    <w:rPr>
      <w:rFonts w:ascii="Times New Roman" w:eastAsia="Times New Roman" w:hAnsi="Times New Roman" w:cs="David"/>
      <w:noProof/>
      <w:sz w:val="24"/>
      <w:szCs w:val="24"/>
    </w:rPr>
  </w:style>
  <w:style w:type="paragraph" w:customStyle="1" w:styleId="9AA994EA385047FB95AD92FF62DDF38C2">
    <w:name w:val="9AA994EA385047FB95AD92FF62DDF38C2"/>
    <w:rsid w:val="00466D93"/>
    <w:pPr>
      <w:bidi/>
      <w:spacing w:after="0" w:line="240" w:lineRule="auto"/>
    </w:pPr>
    <w:rPr>
      <w:rFonts w:ascii="Times New Roman" w:eastAsia="Times New Roman" w:hAnsi="Times New Roman" w:cs="David"/>
      <w:noProof/>
      <w:sz w:val="24"/>
      <w:szCs w:val="24"/>
    </w:rPr>
  </w:style>
  <w:style w:type="paragraph" w:customStyle="1" w:styleId="0853D7E321334087B406F149238228292">
    <w:name w:val="0853D7E321334087B406F149238228292"/>
    <w:rsid w:val="00466D93"/>
    <w:pPr>
      <w:bidi/>
      <w:spacing w:after="0" w:line="240" w:lineRule="auto"/>
    </w:pPr>
    <w:rPr>
      <w:rFonts w:ascii="Times New Roman" w:eastAsia="Times New Roman" w:hAnsi="Times New Roman" w:cs="David"/>
      <w:noProof/>
      <w:sz w:val="24"/>
      <w:szCs w:val="24"/>
    </w:rPr>
  </w:style>
  <w:style w:type="paragraph" w:customStyle="1" w:styleId="BDF71C4125C143FE8E81ED2464F89CD510">
    <w:name w:val="BDF71C4125C143FE8E81ED2464F89CD510"/>
    <w:rsid w:val="00466D93"/>
    <w:pPr>
      <w:bidi/>
      <w:spacing w:after="0" w:line="240" w:lineRule="auto"/>
    </w:pPr>
    <w:rPr>
      <w:rFonts w:ascii="Times New Roman" w:eastAsia="Times New Roman" w:hAnsi="Times New Roman" w:cs="David"/>
      <w:noProof/>
      <w:sz w:val="24"/>
      <w:szCs w:val="24"/>
    </w:rPr>
  </w:style>
  <w:style w:type="paragraph" w:customStyle="1" w:styleId="B0B6E72C50AB41EF904B48D87CB16E0C6">
    <w:name w:val="B0B6E72C50AB41EF904B48D87CB16E0C6"/>
    <w:rsid w:val="00466D93"/>
    <w:pPr>
      <w:bidi/>
      <w:spacing w:after="0" w:line="240" w:lineRule="auto"/>
    </w:pPr>
    <w:rPr>
      <w:rFonts w:ascii="Times New Roman" w:eastAsia="Times New Roman" w:hAnsi="Times New Roman" w:cs="David"/>
      <w:noProof/>
      <w:sz w:val="24"/>
      <w:szCs w:val="24"/>
    </w:rPr>
  </w:style>
  <w:style w:type="paragraph" w:customStyle="1" w:styleId="BDF71C4125C143FE8E81ED2464F89CD511">
    <w:name w:val="BDF71C4125C143FE8E81ED2464F89CD511"/>
    <w:rsid w:val="002D6269"/>
    <w:pPr>
      <w:bidi/>
      <w:spacing w:after="0" w:line="240" w:lineRule="auto"/>
    </w:pPr>
    <w:rPr>
      <w:rFonts w:ascii="Times New Roman" w:eastAsia="Times New Roman" w:hAnsi="Times New Roman" w:cs="David"/>
      <w:noProof/>
      <w:sz w:val="24"/>
      <w:szCs w:val="24"/>
    </w:rPr>
  </w:style>
  <w:style w:type="paragraph" w:customStyle="1" w:styleId="B0B6E72C50AB41EF904B48D87CB16E0C7">
    <w:name w:val="B0B6E72C50AB41EF904B48D87CB16E0C7"/>
    <w:rsid w:val="002D6269"/>
    <w:pPr>
      <w:bidi/>
      <w:spacing w:after="0" w:line="240" w:lineRule="auto"/>
    </w:pPr>
    <w:rPr>
      <w:rFonts w:ascii="Times New Roman" w:eastAsia="Times New Roman" w:hAnsi="Times New Roman" w:cs="David"/>
      <w:noProof/>
      <w:sz w:val="24"/>
      <w:szCs w:val="24"/>
    </w:rPr>
  </w:style>
  <w:style w:type="paragraph" w:customStyle="1" w:styleId="FBFC77DD488A43EFA32BDF129C6C1C92">
    <w:name w:val="FBFC77DD488A43EFA32BDF129C6C1C92"/>
    <w:rsid w:val="002D6269"/>
    <w:pPr>
      <w:bidi/>
      <w:spacing w:after="160" w:line="259" w:lineRule="auto"/>
    </w:pPr>
  </w:style>
  <w:style w:type="paragraph" w:customStyle="1" w:styleId="4E251986D58A4FB5B32B4C5AAA557F60">
    <w:name w:val="4E251986D58A4FB5B32B4C5AAA557F60"/>
    <w:rsid w:val="002D6269"/>
    <w:pPr>
      <w:bidi/>
      <w:spacing w:after="160" w:line="259" w:lineRule="auto"/>
    </w:pPr>
  </w:style>
  <w:style w:type="paragraph" w:customStyle="1" w:styleId="A1983E97BB2A45ABAC9764863B4EF09D">
    <w:name w:val="A1983E97BB2A45ABAC9764863B4EF09D"/>
    <w:rsid w:val="002D626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עביר בכר</FullName>
        <FirstName>עביר</FirstName>
        <LastName>בכר</LastName>
        <PartyPropertyName/>
        <AuthenticationTypeAndNumber>מ.ר. 33825</AuthenticationTypeAndNumber>
        <RepresentatedOrRepresentativesNames>ג'ומעה בן מוסא ח'דר</RepresentatedOrRepresentativesNames>
        <RepresentatedOrRepresentativesCount>1</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254073213</CasePartyID>
        <PartyTypeID>2</PartyTypeID>
        <ActivityStatusID>1</ActivityStatusID>
        <PartyAliasID>33</PartyAliasID>
        <PartyAliasName>בא כוח עותרים</PartyAliasName>
        <LegalEntityID>406981</LegalEntityID>
        <CaseLegalEntityID>123846710</CaseLegalEntityID>
        <AuthenticationTypeID>4</AuthenticationTypeID>
        <AuthenticationTypeName>מ.ר.</AuthenticationTypeName>
        <LegalEntityNumber>33825</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בן עמי 65 עכו ת.ד-2653</FullAddress>
        <EmailAddress>abeer.baker@gmail.com</EmailAddress>
        <MotionID>0</MotionID>
        <CasePleaID>0</CasePleaID>
        <FatherName xml:space="preserve">        </FatherName>
        <LinkedCaseID>0</LinkedCaseID>
        <PartyID>1</PartyID>
        <CasePartyCategoryID>2</CasePartyCategoryID>
        <LegalEntityAddressID>74721910</LegalEntityAddressID>
        <LegalEntityEmailAddressID>67838457</LegalEntityEmailAddressID>
        <PleaTypeID>20</PleaTypeID>
        <LawyerOfficeName>משרד עו"ד: עביר בכר</LawyerOfficeName>
        <LawyerOfficeID>447625</LawyerOfficeID>
        <GroupPartyAlias/>
        <IsConverted>false</IsConverted>
        <LegalEntityNameID>27965</LegalEntityNameID>
        <RepresentatedNamesOfAssistant/>
        <LegalEntityTypeID>4</LegalEntityTypeID>
        <IsVerdictExists>false</IsVerdictExists>
        <IsAsirAzir>false</IsAsirAzir>
        <IsPublicationProhibited>false</IsPublicationProhibited>
        <PublicationProhibitedFullName>עביר בכר</PublicationProhibitedFullName>
      </CaseParties>
      <CaseParties>
        <PartyTypeName>מסייע</PartyTypeName>
        <ProceedingType>כתב טענות עיקרי</ProceedingType>
        <PleaName>עתירה</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254073357</CasePartyID>
        <PartyTypeID>3</PartyTypeID>
        <ActivityStatusID>1</ActivityStatusID>
        <LegalEntityID>12733419</LegalEntityID>
        <CaseLegalEntityID>123846723</CaseLegalEntityID>
        <AssistantRoleID>26</AssistantRoleID>
        <AuthenticationTypeID>13</AuthenticationTypeID>
        <AuthenticationTypeName>משרדי ממשלה</AuthenticationTypeName>
        <LegalEntityNumber>570000489</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1</PartyID>
        <CasePartyCategoryID>2</CasePartyCategoryID>
        <PleaTypeID>20</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עתירה</PleaName>
        <PartyBelonging> - </PartyBelonging>
        <RoleName>שב"ס - עתירות אסירים מרכז</RoleName>
        <IsSubProceeding>FALSE</IsSubProceeding>
        <FullName>שב"ס - משרד עתירות אסירים מרכז</FullName>
        <LastName>שב"ס - משרד עתירות אסירים מרכז</LastName>
        <PartyPropertyName/>
        <AuthenticationTypeAndNumber>משרדי ממשלה 570001797</AuthenticationTypeAndNumber>
        <RepresentatedOrRepresentativesNames/>
        <RepresentatedOrRepresentativesCount>0</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241870414</CasePartyID>
        <PartyTypeID>3</PartyTypeID>
        <ActivityStatusID>1</ActivityStatusID>
        <OrdinalNumber>1</OrdinalNumber>
        <LegalEntityID>78578412</LegalEntityID>
        <CaseLegalEntityID>120028606</CaseLegalEntityID>
        <AssistantRoleID>108</AssistantRoleID>
        <AuthenticationTypeID>13</AuthenticationTypeID>
        <AuthenticationTypeName>משרדי ממשלה</AuthenticationTypeName>
        <LegalEntityNumber>570001797</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CasePartyCategoryID>2</CasePartyCategoryID>
        <PleaTypeID>20</PleaTypeID>
        <GroupPartyAlias/>
        <IsConverted>false</IsConverted>
        <LegalEntityRegisteredNameID>8909231</LegalEntityRegisteredNameID>
        <RepresentatedNamesOfAssistant/>
        <LegalEntityTypeID>3</LegalEntityTypeID>
        <IsVerdictExists>false</IsVerdictExists>
        <IsAsirAzir>false</IsAsirAzir>
        <IsPublicationProhibited>false</IsPublicationProhibited>
        <PublicationProhibitedFullName>שב"ס - משרד עתירות אסירים מרכז</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259464068</CasePartyID>
        <PartyTypeID>2</PartyTypeID>
        <ActivityStatusID>1</ActivityStatusID>
        <PartyAliasID>23</PartyAliasID>
        <PartyAliasName>בא כוח משיבים</PartyAliasName>
        <OrdinalNumber>1</OrdinalNumber>
        <LegalEntityID>401129</LegalEntityID>
        <CaseLegalEntityID>125560851</CaseLegalEntityID>
        <AuthenticationTypeID>4</AuthenticationTypeID>
        <AuthenticationTypeName>מ.ר.</AuthenticationTypeName>
        <LegalEntityNumber>21206</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FatherName xml:space="preserve">        </FatherName>
        <LinkedCaseID>0</LinkedCaseID>
        <CasePartyCategoryID>2</CasePartyCategory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מסייע</PartyTypeName>
        <ProceedingType>כתב טענות עיקרי</ProceedingType>
        <PleaName>עתירה</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242069356</CasePartyID>
        <PartyTypeID>3</PartyTypeID>
        <ActivityStatusID>1</ActivityStatusID>
        <OrdinalNumber>1</OrdinalNumber>
        <LegalEntityID>3488503</LegalEntityID>
        <CaseLegalEntityID>120086750</CaseLegalEntityID>
        <AssistantRoleID>26</AssistantRoleID>
        <AuthenticationTypeID>13</AuthenticationTypeID>
        <AuthenticationTypeName>משרדי ממשלה</AuthenticationTypeName>
        <LegalEntityNumber>513441966</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1</PartyID>
        <CasePartyCategoryID>2</CasePartyCategoryID>
        <PleaTypeID>20</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צד</PartyTypeName>
        <ProceedingType>כתב טענות עיקרי</ProceedingType>
        <PleaName>עתירה</PleaName>
        <PartyBelonging>צד א'</PartyBelonging>
        <RoleName>עותר 1</RoleName>
        <IsSubProceeding>FALSE</IsSubProceeding>
        <FullName>ג'ומעה בן מוסא ח'דר (אסיר)</FullName>
        <FirstName>גומעה</FirstName>
        <LastName>ח'דר</LastName>
        <PartyPropertyID>7</PartyPropertyID>
        <PartyPropertyName/>
        <AuthenticationTypeAndNumber>ת"ז 979468535</AuthenticationTypeAndNumber>
        <RepresentatedOrRepresentativesNames>עביר בכר, מיכל פומרנץ</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241870417</CasePartyID>
        <PartyTypeID>1</PartyTypeID>
        <ActivityStatusID>1</ActivityStatusID>
        <PartyAliasID>14</PartyAliasID>
        <PartyAliasName>עותר</PartyAliasName>
        <OrdinalNumber>1</OrdinalNumber>
        <LegalEntityID>23983006</LegalEntityID>
        <CaseLegalEntityID>120028609</CaseLegalEntityID>
        <AuthenticationTypeID>1</AuthenticationTypeID>
        <AuthenticationTypeName>ת"ז</AuthenticationTypeName>
        <LegalEntityNumber>979468535</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תל אביב -יפו </FullAddress>
        <MotionID>0</MotionID>
        <CasePleaID>0</CasePleaID>
        <FatherName>מוסא</FatherName>
        <LinkedCaseID>0</LinkedCaseID>
        <PartyID>1</PartyID>
        <CasePartyCategoryID>2</CasePartyCategoryID>
        <LegalEntityAddressID>86586569</LegalEntityAddressID>
        <PleaTypeID>20</PleaTypeID>
        <GroupPartyAlias>עותרים</GroupPartyAlias>
        <IsConverted>false</IsConverted>
        <LegalEntityRegisteredNameID>8703613</LegalEntityRegisteredNameID>
        <LegalEntityNameID>93207860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ג'ומעה בן מוסא ח'דר (אסיר)</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מיכל פומרנץ</FullName>
        <FirstName>מיכל</FirstName>
        <LastName>פומרנץ</LastName>
        <PartyPropertyName/>
        <AuthenticationTypeAndNumber>מ.ר. 54788</AuthenticationTypeAndNumber>
        <RepresentatedOrRepresentativesNames>ג'ומעה בן מוסא ח'דר</RepresentatedOrRepresentativesNames>
        <RepresentatedOrRepresentativesCount>1</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241870418</CasePartyID>
        <PartyTypeID>2</PartyTypeID>
        <ActivityStatusID>1</ActivityStatusID>
        <PartyAliasID>33</PartyAliasID>
        <PartyAliasName>בא כוח עותרים</PartyAliasName>
        <OrdinalNumber>1</OrdinalNumber>
        <LegalEntityID>73428332</LegalEntityID>
        <CaseLegalEntityID>120028610</CaseLegalEntityID>
        <AuthenticationTypeID>4</AuthenticationTypeID>
        <AuthenticationTypeName>מ.ר.</AuthenticationTypeName>
        <LegalEntityNumber>54788</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מקווה ישראל 8 תל אביב -יפו </FullAddress>
        <MotionID>0</MotionID>
        <CasePleaID>0</CasePleaID>
        <LinkedCaseID>0</LinkedCaseID>
        <PartyID>1</PartyID>
        <CasePartyCategoryID>2</CasePartyCategoryID>
        <LegalEntityAddressID>82368544</LegalEntityAddressID>
        <PleaTypeID>20</PleaTypeID>
        <LawyerOfficeName>משרד עו"ד: מיכל פומרנץ</LawyerOfficeName>
        <LawyerOfficeID>421453</LawyerOfficeID>
        <GroupPartyAlias/>
        <IsConverted>false</IsConverted>
        <LegalEntityNameID>78147224</LegalEntityNameID>
        <RepresentatedNamesOfAssistant/>
        <LegalEntityTypeID>4</LegalEntityTypeID>
        <IsVerdictExists>false</IsVerdictExists>
        <IsAsirAzir>false</IsAsirAzir>
        <IsPublicationProhibited>false</IsPublicationProhibited>
        <PublicationProhibitedFullName>מיכל פומרנץ</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241870420</CasePartyID>
        <PartyTypeID>2</PartyTypeID>
        <ActivityStatusID>1</ActivityStatusID>
        <PartyAliasID>23</PartyAliasID>
        <PartyAliasName>בא כוח משיבים</PartyAliasName>
        <OrdinalNumber>1</OrdinalNumber>
        <LegalEntityID>398656</LegalEntityID>
        <CaseLegalEntityID>120028612</CaseLegalEntityID>
        <AuthenticationTypeID>4</AuthenticationTypeID>
        <AuthenticationTypeName>מ.ר.</AuthenticationTypeName>
        <LegalEntityNumber>19202</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2</PartyID>
        <CasePartyCategoryID>2</CasePartyCategoryID>
        <PleaTypeID>20</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רחל אבישר-אבלס, רועי קליפה</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241870419</CasePartyID>
        <PartyTypeID>1</PartyTypeID>
        <ActivityStatusID>1</ActivityStatusID>
        <PartyAliasID>4</PartyAliasID>
        <PartyAliasName>משיב</PartyAliasName>
        <OrdinalNumber>1</OrdinalNumber>
        <LegalEntityID>3493000</LegalEntityID>
        <CaseLegalEntityID>120028611</CaseLegalEntityID>
        <AuthenticationTypeID>13</AuthenticationTypeID>
        <AuthenticationTypeName>משרדי ממשלה</AuthenticationTypeName>
        <LegalEntityNumber>513441967</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2</PartyID>
        <CasePartyCategoryID>2</CasePartyCategoryID>
        <PleaTypeID>20</PleaTypeID>
        <GroupPartyAlias>משיבים</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צד</PartyTypeName>
        <ProceedingType>כתב טענות עיקרי</ProceedingType>
        <PleaName>עתירה</PleaName>
        <PartyBelonging>צד ב'</PartyBelonging>
        <RoleName>משיב 2</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 רועי קליפה</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241870416</CasePartyID>
        <PartyTypeID>1</PartyTypeID>
        <ActivityStatusID>1</ActivityStatusID>
        <PartyAliasID>4</PartyAliasID>
        <PartyAliasName>משיב</PartyAliasName>
        <OrdinalNumber>2</OrdinalNumber>
        <LegalEntityID>4</LegalEntityID>
        <CaseLegalEntityID>120028608</CaseLegalEntityID>
        <AuthenticationTypeID>41</AuthenticationTypeID>
        <AuthenticationTypeName>מדינת ישראל </AuthenticationTypeName>
        <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2</PartyID>
        <CasePartyCategoryID>2</CasePartyCategoryID>
        <PleaTypeID>20</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רועי קליפה</FullName>
        <FirstName>רועי</FirstName>
        <LastName>קליפה</LastName>
        <PartyPropertyName/>
        <AuthenticationTypeAndNumber>מ.ר. 47088</AuthenticationTypeAndNumber>
        <RepresentatedOrRepresentativesNames xml:space="preserve"> </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259464069</CasePartyID>
        <PartyTypeID>2</PartyTypeID>
        <ActivityStatusID>1</ActivityStatusID>
        <PartyAliasID>23</PartyAliasID>
        <PartyAliasName>בא כוח משיבים</PartyAliasName>
        <OrdinalNumber>2</OrdinalNumber>
        <LegalEntityID>15879724</LegalEntityID>
        <CaseLegalEntityID>125560852</CaseLegalEntityID>
        <AuthenticationTypeID>4</AuthenticationTypeID>
        <AuthenticationTypeName>מ.ר.</AuthenticationTypeName>
        <LegalEntityNumber>47088</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2</PartyID>
        <CasePartyCategoryID>2</CasePartyCategoryID>
        <PleaTypeID>20</PleaTypeID>
        <LawyerOfficeName>שב"ס - משרד עתירות אסירים מרכז</LawyerOfficeName>
        <LawyerOfficeID>74254126</LawyerOfficeID>
        <GroupPartyAlias/>
        <IsConverted>false</IsConverted>
        <LegalEntityNameID>17526824</LegalEntityNameID>
        <RepresentatedNamesOfAssistant/>
        <LegalEntityTypeID>4</LegalEntityTypeID>
        <IsVerdictExists>false</IsVerdictExists>
        <IsAsirAzir>false</IsAsirAzir>
        <IsPublicationProhibited>false</IsPublicationProhibited>
        <PublicationProhibitedFullName>רועי קליפה</PublicationProhibitedFullName>
      </CaseParties>
    </CasePartiesSelectionDS>
    <DecisionName>החלטה  שניתנה ע"י  מיכאל קרשן</DecisionName>
    <CourtDisplayName>בית המשפט המחוזי מרכז-לוד בשבתו כבית-משפט לעניינים מנהליים</CourtDisplayName>
    <IsCaseJudgePanel>false</IsCaseJudgePanel>
    <DecisionSignatureDate>2023-12-21T13:52:54.2558207+02:00</DecisionSignatureDate>
    <OpenCaseDate>2022-06-02T16:35:00+03:00</OpenCaseDate>
    <CaseFeeSum>0.000</CaseFeeSum>
    <DecisionTypeID>1</DecisionTypeID>
    <DecisionSignatureUserName>מיכאל קרשן</DecisionSignatureUserName>
    <DecisionSignatureDateHebrew>2023-12-21T13:52:54.2558207+02:00</DecisionSignatureDateHebrew>
    <DecisionWriterID>028615656@GOV.IL</DecisionWriterID>
    <CourtAddress>רח' שדרות הציונות 3, לוד -1</CourtAddress>
    <IsAutoTextInCaseExist>false</IsAutoTextInCaseExist>
    <DecisionSignatureRoleName>שופט</DecisionSignatureRoleName>
    <DecisionSignatureUserTitleName>שופט</DecisionSignatureUserTitleName>
    <CaseName>ח'דר(אסיר) נ' שרות בתי הסוהר-מחלקת האסיר - זימונים ואח'</CaseName>
    <DecisionNumberInCase>18</DecisionNumberInCase>
  </dt_Decision>
  <dt_DecisionCase>
    <DecisionID>0</DecisionID>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עביר בכר</FullName>
        <FirstName>עביר</FirstName>
        <LastName>בכר</LastName>
        <PartyPropertyName/>
        <AuthenticationTypeAndNumber>מ.ר. 33825</AuthenticationTypeAndNumber>
        <RepresentatedOrRepresentativesNames>ג'ומעה בן מוסא ח'דר</RepresentatedOrRepresentativesNames>
        <RepresentatedOrRepresentativesCount>1</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254073213</CasePartyID>
        <PartyTypeID>2</PartyTypeID>
        <ActivityStatusID>1</ActivityStatusID>
        <PartyAliasID>33</PartyAliasID>
        <PartyAliasName>בא כוח עותרים</PartyAliasName>
        <LegalEntityID>406981</LegalEntityID>
        <CaseLegalEntityID>123846710</CaseLegalEntityID>
        <AuthenticationTypeID>4</AuthenticationTypeID>
        <AuthenticationTypeName>מ.ר.</AuthenticationTypeName>
        <LegalEntityNumber>33825</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בן עמי 65 עכו ת.ד-2653</FullAddress>
        <EmailAddress>abeer.baker@gmail.com</EmailAddress>
        <MotionID>0</MotionID>
        <CasePleaID>0</CasePleaID>
        <FatherName xml:space="preserve">        </FatherName>
        <LinkedCaseID>0</LinkedCaseID>
        <PartyID>1</PartyID>
        <CasePartyCategoryID>2</CasePartyCategoryID>
        <LegalEntityAddressID>74721910</LegalEntityAddressID>
        <LegalEntityEmailAddressID>67838457</LegalEntityEmailAddressID>
        <PleaTypeID>20</PleaTypeID>
        <LawyerOfficeName>משרד עו"ד: עביר בכר</LawyerOfficeName>
        <LawyerOfficeID>447625</LawyerOfficeID>
        <GroupPartyAlias/>
        <IsConverted>false</IsConverted>
        <LegalEntityNameID>27965</LegalEntityNameID>
        <RepresentatedNamesOfAssistant/>
        <LegalEntityTypeID>4</LegalEntityTypeID>
        <IsVerdictExists>false</IsVerdictExists>
        <IsAsirAzir>false</IsAsirAzir>
        <IsPublicationProhibited>false</IsPublicationProhibited>
        <PublicationProhibitedFullName>עביר בכר</PublicationProhibitedFullName>
      </CaseParties>
      <CaseParties>
        <PartyTypeName>מסייע</PartyTypeName>
        <ProceedingType>כתב טענות עיקרי</ProceedingType>
        <PleaName>עתירה</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254073357</CasePartyID>
        <PartyTypeID>3</PartyTypeID>
        <ActivityStatusID>1</ActivityStatusID>
        <LegalEntityID>12733419</LegalEntityID>
        <CaseLegalEntityID>123846723</CaseLegalEntityID>
        <AssistantRoleID>26</AssistantRoleID>
        <AuthenticationTypeID>13</AuthenticationTypeID>
        <AuthenticationTypeName>משרדי ממשלה</AuthenticationTypeName>
        <LegalEntityNumber>570000489</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1</PartyID>
        <CasePartyCategoryID>2</CasePartyCategoryID>
        <PleaTypeID>20</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עתירה</PleaName>
        <PartyBelonging> - </PartyBelonging>
        <RoleName>שב"ס - עתירות אסירים מרכז</RoleName>
        <IsSubProceeding>FALSE</IsSubProceeding>
        <FullName>שב"ס - משרד עתירות אסירים מרכז</FullName>
        <LastName>שב"ס - משרד עתירות אסירים מרכז</LastName>
        <PartyPropertyName/>
        <AuthenticationTypeAndNumber>משרדי ממשלה 570001797</AuthenticationTypeAndNumber>
        <RepresentatedOrRepresentativesNames/>
        <RepresentatedOrRepresentativesCount>0</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241870414</CasePartyID>
        <PartyTypeID>3</PartyTypeID>
        <ActivityStatusID>1</ActivityStatusID>
        <OrdinalNumber>1</OrdinalNumber>
        <LegalEntityID>78578412</LegalEntityID>
        <CaseLegalEntityID>120028606</CaseLegalEntityID>
        <AssistantRoleID>108</AssistantRoleID>
        <AuthenticationTypeID>13</AuthenticationTypeID>
        <AuthenticationTypeName>משרדי ממשלה</AuthenticationTypeName>
        <LegalEntityNumber>570001797</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CasePartyCategoryID>2</CasePartyCategoryID>
        <PleaTypeID>20</PleaTypeID>
        <GroupPartyAlias/>
        <IsConverted>false</IsConverted>
        <LegalEntityRegisteredNameID>8909231</LegalEntityRegisteredNameID>
        <RepresentatedNamesOfAssistant/>
        <LegalEntityTypeID>3</LegalEntityTypeID>
        <IsVerdictExists>false</IsVerdictExists>
        <IsAsirAzir>false</IsAsirAzir>
        <IsPublicationProhibited>false</IsPublicationProhibited>
        <PublicationProhibitedFullName>שב"ס - משרד עתירות אסירים מרכז</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259464068</CasePartyID>
        <PartyTypeID>2</PartyTypeID>
        <ActivityStatusID>1</ActivityStatusID>
        <PartyAliasID>23</PartyAliasID>
        <PartyAliasName>בא כוח משיבים</PartyAliasName>
        <OrdinalNumber>1</OrdinalNumber>
        <LegalEntityID>401129</LegalEntityID>
        <CaseLegalEntityID>125560851</CaseLegalEntityID>
        <AuthenticationTypeID>4</AuthenticationTypeID>
        <AuthenticationTypeName>מ.ר.</AuthenticationTypeName>
        <LegalEntityNumber>21206</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FatherName xml:space="preserve">        </FatherName>
        <LinkedCaseID>0</LinkedCaseID>
        <CasePartyCategoryID>2</CasePartyCategory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מסייע</PartyTypeName>
        <ProceedingType>כתב טענות עיקרי</ProceedingType>
        <PleaName>עתירה</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242069356</CasePartyID>
        <PartyTypeID>3</PartyTypeID>
        <ActivityStatusID>1</ActivityStatusID>
        <OrdinalNumber>1</OrdinalNumber>
        <LegalEntityID>3488503</LegalEntityID>
        <CaseLegalEntityID>120086750</CaseLegalEntityID>
        <AssistantRoleID>26</AssistantRoleID>
        <AuthenticationTypeID>13</AuthenticationTypeID>
        <AuthenticationTypeName>משרדי ממשלה</AuthenticationTypeName>
        <LegalEntityNumber>513441966</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1</PartyID>
        <CasePartyCategoryID>2</CasePartyCategoryID>
        <PleaTypeID>20</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צד</PartyTypeName>
        <ProceedingType>כתב טענות עיקרי</ProceedingType>
        <PleaName>עתירה</PleaName>
        <PartyBelonging>צד א'</PartyBelonging>
        <RoleName>עותר 1</RoleName>
        <IsSubProceeding>FALSE</IsSubProceeding>
        <FullName>ג'ומעה בן מוסא ח'דר (אסיר)</FullName>
        <FirstName>גומעה</FirstName>
        <LastName>ח'דר</LastName>
        <PartyPropertyID>7</PartyPropertyID>
        <PartyPropertyName/>
        <AuthenticationTypeAndNumber>ת"ז 979468535</AuthenticationTypeAndNumber>
        <RepresentatedOrRepresentativesNames>עביר בכר, מיכל פומרנץ</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241870417</CasePartyID>
        <PartyTypeID>1</PartyTypeID>
        <ActivityStatusID>1</ActivityStatusID>
        <PartyAliasID>14</PartyAliasID>
        <PartyAliasName>עותר</PartyAliasName>
        <OrdinalNumber>1</OrdinalNumber>
        <LegalEntityID>23983006</LegalEntityID>
        <CaseLegalEntityID>120028609</CaseLegalEntityID>
        <AuthenticationTypeID>1</AuthenticationTypeID>
        <AuthenticationTypeName>ת"ז</AuthenticationTypeName>
        <LegalEntityNumber>979468535</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תל אביב -יפו </FullAddress>
        <MotionID>0</MotionID>
        <CasePleaID>0</CasePleaID>
        <FatherName>מוסא</FatherName>
        <LinkedCaseID>0</LinkedCaseID>
        <PartyID>1</PartyID>
        <CasePartyCategoryID>2</CasePartyCategoryID>
        <LegalEntityAddressID>86586569</LegalEntityAddressID>
        <PleaTypeID>20</PleaTypeID>
        <GroupPartyAlias>עותרים</GroupPartyAlias>
        <IsConverted>false</IsConverted>
        <LegalEntityRegisteredNameID>8703613</LegalEntityRegisteredNameID>
        <LegalEntityNameID>93207860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ג'ומעה בן מוסא ח'דר (אסיר)</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מיכל פומרנץ</FullName>
        <FirstName>מיכל</FirstName>
        <LastName>פומרנץ</LastName>
        <PartyPropertyName/>
        <AuthenticationTypeAndNumber>מ.ר. 54788</AuthenticationTypeAndNumber>
        <RepresentatedOrRepresentativesNames>ג'ומעה בן מוסא ח'דר</RepresentatedOrRepresentativesNames>
        <RepresentatedOrRepresentativesCount>1</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241870418</CasePartyID>
        <PartyTypeID>2</PartyTypeID>
        <ActivityStatusID>1</ActivityStatusID>
        <PartyAliasID>33</PartyAliasID>
        <PartyAliasName>בא כוח עותרים</PartyAliasName>
        <OrdinalNumber>1</OrdinalNumber>
        <LegalEntityID>73428332</LegalEntityID>
        <CaseLegalEntityID>120028610</CaseLegalEntityID>
        <AuthenticationTypeID>4</AuthenticationTypeID>
        <AuthenticationTypeName>מ.ר.</AuthenticationTypeName>
        <LegalEntityNumber>54788</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מקווה ישראל 8 תל אביב -יפו </FullAddress>
        <MotionID>0</MotionID>
        <CasePleaID>0</CasePleaID>
        <LinkedCaseID>0</LinkedCaseID>
        <PartyID>1</PartyID>
        <CasePartyCategoryID>2</CasePartyCategoryID>
        <LegalEntityAddressID>82368544</LegalEntityAddressID>
        <PleaTypeID>20</PleaTypeID>
        <LawyerOfficeName>משרד עו"ד: מיכל פומרנץ</LawyerOfficeName>
        <LawyerOfficeID>421453</LawyerOfficeID>
        <GroupPartyAlias/>
        <IsConverted>false</IsConverted>
        <LegalEntityNameID>78147224</LegalEntityNameID>
        <RepresentatedNamesOfAssistant/>
        <LegalEntityTypeID>4</LegalEntityTypeID>
        <IsVerdictExists>false</IsVerdictExists>
        <IsAsirAzir>false</IsAsirAzir>
        <IsPublicationProhibited>false</IsPublicationProhibited>
        <PublicationProhibitedFullName>מיכל פומרנץ</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241870420</CasePartyID>
        <PartyTypeID>2</PartyTypeID>
        <ActivityStatusID>1</ActivityStatusID>
        <PartyAliasID>23</PartyAliasID>
        <PartyAliasName>בא כוח משיבים</PartyAliasName>
        <OrdinalNumber>1</OrdinalNumber>
        <LegalEntityID>398656</LegalEntityID>
        <CaseLegalEntityID>120028612</CaseLegalEntityID>
        <AuthenticationTypeID>4</AuthenticationTypeID>
        <AuthenticationTypeName>מ.ר.</AuthenticationTypeName>
        <LegalEntityNumber>19202</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2</PartyID>
        <CasePartyCategoryID>2</CasePartyCategoryID>
        <PleaTypeID>20</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רחל אבישר-אבלס, רועי קליפה</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241870419</CasePartyID>
        <PartyTypeID>1</PartyTypeID>
        <ActivityStatusID>1</ActivityStatusID>
        <PartyAliasID>4</PartyAliasID>
        <PartyAliasName>משיב</PartyAliasName>
        <OrdinalNumber>1</OrdinalNumber>
        <LegalEntityID>3493000</LegalEntityID>
        <CaseLegalEntityID>120028611</CaseLegalEntityID>
        <AuthenticationTypeID>13</AuthenticationTypeID>
        <AuthenticationTypeName>משרדי ממשלה</AuthenticationTypeName>
        <LegalEntityNumber>513441967</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2</PartyID>
        <CasePartyCategoryID>2</CasePartyCategoryID>
        <PleaTypeID>20</PleaTypeID>
        <GroupPartyAlias>משיבים</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צד</PartyTypeName>
        <ProceedingType>כתב טענות עיקרי</ProceedingType>
        <PleaName>עתירה</PleaName>
        <PartyBelonging>צד ב'</PartyBelonging>
        <RoleName>משיב 2</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 רועי קליפה</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241870416</CasePartyID>
        <PartyTypeID>1</PartyTypeID>
        <ActivityStatusID>1</ActivityStatusID>
        <PartyAliasID>4</PartyAliasID>
        <PartyAliasName>משיב</PartyAliasName>
        <OrdinalNumber>2</OrdinalNumber>
        <LegalEntityID>4</LegalEntityID>
        <CaseLegalEntityID>120028608</CaseLegalEntityID>
        <AuthenticationTypeID>41</AuthenticationTypeID>
        <AuthenticationTypeName>מדינת ישראל </AuthenticationTypeName>
        <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2</PartyID>
        <CasePartyCategoryID>2</CasePartyCategoryID>
        <PleaTypeID>20</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רועי קליפה</FullName>
        <FirstName>רועי</FirstName>
        <LastName>קליפה</LastName>
        <PartyPropertyName/>
        <AuthenticationTypeAndNumber>מ.ר. 47088</AuthenticationTypeAndNumber>
        <RepresentatedOrRepresentativesNames xml:space="preserve"> </RepresentatedOrRepresentativesNames>
        <RepresentatedOrRepresentativesCount>2</RepresentatedOrRepresentativesCount>
        <InvitedBy/>
        <CaseID>79333151</CaseID>
        <CaseJudicialPersonPresentationDS>
          <CaseJudicalPersonActive>
            <CaseID>79333151</CaseID>
            <JudicialPersonID>028615656@GOV.IL</JudicialPersonID>
            <JudicialPersonTypeID>1</JudicialPersonTypeID>
            <JudicialTypeID>1</JudicialTypeID>
            <IsChairman>false</IsChairman>
            <TreatmentStartDate>2022-08-08T14:47:24.923+03:00</TreatmentStartDate>
            <TreatmentFinishDate>9999-12-31T23:59:59.997+02:00</TreatmentFinishDate>
            <IdentificationCardNumber>028615656</IdentificationCardNumber>
            <DisplayName>מיכאל קרשן</DisplayName>
            <JudicialTypeName>שופט</JudicialTypeName>
            <CaseJudicialGroupNumber>0</CaseJudicialGroupNumber>
            <FirstName>מיכאל</FirstName>
            <LastName>קרשן</LastName>
            <JudicialPersonTitle>שופט</JudicialPersonTitle>
          </CaseJudicalPersonActive>
        </CaseJudicialPersonPresentationDS>
        <CasePartyID>259464069</CasePartyID>
        <PartyTypeID>2</PartyTypeID>
        <ActivityStatusID>1</ActivityStatusID>
        <PartyAliasID>23</PartyAliasID>
        <PartyAliasName>בא כוח משיבים</PartyAliasName>
        <OrdinalNumber>2</OrdinalNumber>
        <LegalEntityID>15879724</LegalEntityID>
        <CaseLegalEntityID>125560852</CaseLegalEntityID>
        <AuthenticationTypeID>4</AuthenticationTypeID>
        <AuthenticationTypeName>מ.ר.</AuthenticationTypeName>
        <LegalEntityNumber>47088</LegalEntityNumber>
        <IsMainPartyType>true</IsMainPartyType>
        <CaseDisplayIdentifier>7015-06-22</CaseDisplayIdentifier>
        <CaseTypeID>10076</CaseTypeID>
        <CaseTypeName>עתירות אסירים (עת"א)</CaseTypeName>
        <CaseName>ח'דר(אסיר) נ' שרות בתי הסוהר-מחלקת האסיר - זימונים ואח'</CaseName>
        <FullAddress/>
        <MotionID>0</MotionID>
        <CasePleaID>0</CasePleaID>
        <LinkedCaseID>0</LinkedCaseID>
        <PartyID>2</PartyID>
        <CasePartyCategoryID>2</CasePartyCategoryID>
        <PleaTypeID>20</PleaTypeID>
        <LawyerOfficeName>שב"ס - משרד עתירות אסירים מרכז</LawyerOfficeName>
        <LawyerOfficeID>74254126</LawyerOfficeID>
        <GroupPartyAlias/>
        <IsConverted>false</IsConverted>
        <LegalEntityNameID>17526824</LegalEntityNameID>
        <RepresentatedNamesOfAssistant/>
        <LegalEntityTypeID>4</LegalEntityTypeID>
        <IsVerdictExists>false</IsVerdictExists>
        <IsAsirAzir>false</IsAsirAzir>
        <IsPublicationProhibited>false</IsPublicationProhibited>
        <PublicationProhibitedFullName>רועי קליפה</PublicationProhibitedFullName>
      </CaseParties>
    </CasePartiesSelectionDS>
    <CaseName>ח'דר(אסיר) נ' שרות בתי הסוהר-מחלקת האסיר - זימונים ואח'</CaseName>
    <CaseDisplayIdentifier>7015-06-22</CaseDisplayIdentifier>
    <CaseInterestID>87</CaseInterestID>
    <CaseTypeShortName>עת"א</CaseTypeShortName>
  </dt_DecisionCase>
  <dt_DecisionJudgePanel>
    <JudgeID>028615656@GOV.IL</JudgeID>
    <DisplayName>מיכאל קרשן</DisplayName>
    <RoleName>שופט</RoleName>
    <UserTitleName>שופט</UserTitleName>
  </dt_DecisionJudgePanel>
  <dt_LegalEntityDetails>
    <Fax>072-2449452</Fax>
    <Phone>04-9815327</Phone>
    <AddressDesc>ת.ד-2653</AddressDesc>
    <PartyID>1</PartyID>
    <PartyTypeID>2</PartyTypeID>
    <DecisionID>0</DecisionID>
    <StreetName>בן עמי 65</StreetName>
    <ZipCode>24317</ZipCode>
    <CityName>עכו</CityName>
    <FullName>עביר בכר</FullName>
    <Email>abeer.baker@gmail.com</Email>
    <IsPublicationProhibited>false</IsPublicationProhibited>
  </dt_LegalEntityDetails>
  <dt_LegalEntityDetails>
    <AddressDesc/>
    <PartyID>1</PartyID>
    <PartyTypeID>3</PartyTypeID>
    <DecisionID>0</DecisionID>
    <AssistantRoleID>26</AssistantRoleID>
    <StreetName/>
    <CityName/>
    <IsPublicationProhibited>false</IsPublicationProhibited>
  </dt_LegalEntityDetails>
  <dt_LegalEntityDetails>
    <AddressDesc/>
    <PartyTypeID>3</PartyTypeID>
    <DecisionID>0</DecisionID>
    <AssistantRoleID>108</AssistantRoleID>
    <StreetName/>
    <CityName/>
    <IsPublicationProhibited>false</IsPublicationProhibited>
  </dt_LegalEntityDetails>
  <dt_LegalEntityDetails>
    <PartyID>1</PartyID>
    <PartyTypeID>1</PartyTypeID>
    <DecisionID>0</DecisionID>
    <CityName>תל אביב -יפו</CityName>
    <FullName>ג'ומעה בן מוסא ח'דר</FullName>
    <IsPublicationProhibited>false</IsPublicationProhibited>
  </dt_LegalEntityDetails>
  <dt_LegalEntityDetails>
    <Fax>03-6868596</Fax>
    <Phone>03-5619666</Phone>
    <PartyID>1</PartyID>
    <PartyTypeID>2</PartyTypeID>
    <DecisionID>0</DecisionID>
    <StreetName>מקווה ישראל 8</StreetName>
    <ZipCode>6511403</ZipCode>
    <CityName>תל אביב -יפו</CityName>
    <FullName>מיכל פומרנץ</FullName>
    <Email>office@bennatan-law.co.il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2</PartyTypeID>
    <DecisionID>0</DecisionID>
    <IsPublicationProhibited>false</IsPublicationProhibited>
  </dt_LegalEntityDetails>
  <dt_LegalEntityDetails>
    <AddressDesc/>
    <PartyID>1</PartyID>
    <PartyTypeID>3</PartyTypeID>
    <DecisionID>0</DecisionID>
    <AssistantRoleID>26</AssistantRoleID>
    <StreetName/>
    <CityName/>
    <IsPublicationProhibited>false</IsPublicationProhibited>
  </dt_LegalEntityDetails>
  <dt_LegalEntityDetails>
    <Fax>02-6468017</Fax>
    <Phone>073-3736370</Phone>
    <AddressDesc>בית קרדן</AddressDesc>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2</PartyID>
    <PartyTypeID>1</PartyTypeID>
    <DecisionID>0</DecisionID>
    <IsPublicationProhibited>false</IsPublicationProhibited>
  </dt_LegalEntityDetails>
  <dt_LegalEntityDetails>
    <Fax>08-9193210</Fax>
    <Phone>08-9787025</Phone>
    <PartyID>2</PartyID>
    <PartyTypeID>2</PartyTypeID>
    <DecisionID>0</DecisionID>
    <CityName>רמלה</CityName>
    <FullName>רועי קליפה</FullName>
    <Email>Fax089193210@ips.gov.il</Email>
    <IsPublicationProhibited>false</IsPublicationProhibited>
  </dt_LegalEntityDetails>
  <dt_CaseJudicalPersonActive>
    <CaseJudicalPerson>שופט מיכאל קרשן</CaseJudicalPerson>
  </dt_CaseJudicalPersonActive>
  <dt_Sitting>
    <PreviousMeetingDate>2023-04-30T08:30:00+03:00</PreviousMeetingDate>
    <PreviousSittingTypeID>57</PreviousSittingTypeID>
    <PreviousMeetingDisplayName>שופט מיכאל קרשן</PreviousMeetingDisplayName>
    <PreviousMeetingRoleName>שופט</PreviousMeetingRoleName>
    <PreviousMeetingUserTitleName>שופט</PreviousMeetingUserTitleName>
    <PreviousMeetingUserUPN>028615656@GOV.IL</PreviousMeetingUserUPN>
  </dt_Sitting>
</DecisionTemplateDS>
</file>

<file path=customXml/itemProps1.xml><?xml version="1.0" encoding="utf-8"?>
<ds:datastoreItem xmlns:ds="http://schemas.openxmlformats.org/officeDocument/2006/customXml" ds:itemID="{B3200ADC-E9CA-4857-A39C-D2DF1D48775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6061</Words>
  <Characters>30309</Characters>
  <Application>Microsoft Office Word</Application>
  <DocSecurity>4</DocSecurity>
  <Lines>252</Lines>
  <Paragraphs>72</Paragraphs>
  <ScaleCrop>false</ScaleCrop>
  <Company>Microsoft Corporation</Company>
  <LinksUpToDate>false</LinksUpToDate>
  <CharactersWithSpaces>36298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2023-12-21T12:39:00Z</dcterms:created>
  <dcterms:modified xsi:type="dcterms:W3CDTF">2023-12-21T12:39:00Z</dcterms:modified>
</cp:coreProperties>
</file>